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F66AC" w14:textId="77777777" w:rsidR="00C31397" w:rsidRDefault="005B3925" w:rsidP="005B3925">
      <w:pPr>
        <w:jc w:val="center"/>
        <w:rPr>
          <w:b/>
        </w:rPr>
      </w:pPr>
      <w:r w:rsidRPr="005B3925">
        <w:rPr>
          <w:b/>
        </w:rPr>
        <w:t xml:space="preserve">Modulating the </w:t>
      </w:r>
      <w:r>
        <w:rPr>
          <w:b/>
        </w:rPr>
        <w:t xml:space="preserve">Colorectal </w:t>
      </w:r>
      <w:r w:rsidRPr="005B3925">
        <w:rPr>
          <w:b/>
        </w:rPr>
        <w:t>Cancer Extracellular Matrix to Promote T-cell Infiltration and Sensitise to Immunotherapy</w:t>
      </w:r>
    </w:p>
    <w:p w14:paraId="0702DDFB" w14:textId="77777777" w:rsidR="0078143F" w:rsidRDefault="0078143F" w:rsidP="005B3925">
      <w:pPr>
        <w:jc w:val="center"/>
        <w:rPr>
          <w:b/>
        </w:rPr>
      </w:pPr>
    </w:p>
    <w:p w14:paraId="140AA5A7" w14:textId="77777777" w:rsidR="0078143F" w:rsidRDefault="0078143F" w:rsidP="005B3925">
      <w:pPr>
        <w:jc w:val="center"/>
        <w:rPr>
          <w:b/>
        </w:rPr>
      </w:pPr>
      <w:r>
        <w:rPr>
          <w:b/>
        </w:rPr>
        <w:t>Alex Gordon-Weeks</w:t>
      </w:r>
    </w:p>
    <w:p w14:paraId="7781A55F" w14:textId="77777777" w:rsidR="0078143F" w:rsidRPr="005B3925" w:rsidRDefault="0078143F" w:rsidP="005B3925">
      <w:pPr>
        <w:jc w:val="center"/>
        <w:rPr>
          <w:b/>
        </w:rPr>
      </w:pPr>
      <w:r>
        <w:rPr>
          <w:b/>
        </w:rPr>
        <w:t>Consultant Hepatobiliary Surgeon and Clinical Lecturer</w:t>
      </w:r>
    </w:p>
    <w:p w14:paraId="43B22612" w14:textId="77777777" w:rsidR="005B3925" w:rsidRDefault="005B3925"/>
    <w:p w14:paraId="246B646C" w14:textId="77777777" w:rsidR="005B3925" w:rsidRPr="00F3231B" w:rsidRDefault="005B3925">
      <w:pPr>
        <w:rPr>
          <w:b/>
          <w:color w:val="FF0000"/>
        </w:rPr>
      </w:pPr>
      <w:r w:rsidRPr="00F3231B">
        <w:rPr>
          <w:b/>
          <w:color w:val="FF0000"/>
        </w:rPr>
        <w:t>Background</w:t>
      </w:r>
      <w:r w:rsidR="0090017B" w:rsidRPr="00F3231B">
        <w:rPr>
          <w:b/>
          <w:color w:val="FF0000"/>
        </w:rPr>
        <w:t>.</w:t>
      </w:r>
    </w:p>
    <w:p w14:paraId="46F83B95" w14:textId="77777777" w:rsidR="00B30E02" w:rsidRDefault="00B30E02" w:rsidP="00B30E02">
      <w:pPr>
        <w:contextualSpacing/>
        <w:rPr>
          <w:rFonts w:cs="Calibri"/>
          <w:color w:val="333333"/>
          <w:sz w:val="22"/>
          <w:szCs w:val="22"/>
        </w:rPr>
      </w:pPr>
      <w:r>
        <w:rPr>
          <w:rFonts w:cs="Calibri"/>
          <w:color w:val="333333"/>
          <w:sz w:val="22"/>
          <w:szCs w:val="22"/>
        </w:rPr>
        <w:t>Colorectal cancer (CRC) sensitive to immune checkpoint blockade (ICB) has an excellent outcome, but less than 15% of CRCs are sensitive. Re-modelling the tumour microenvironment is a potential means to improve sensitivity. Tumours with excessive extracellular matrix (ECM) deposition and an absence of intra-</w:t>
      </w:r>
      <w:proofErr w:type="spellStart"/>
      <w:r>
        <w:rPr>
          <w:rFonts w:cs="Calibri"/>
          <w:color w:val="333333"/>
          <w:sz w:val="22"/>
          <w:szCs w:val="22"/>
        </w:rPr>
        <w:t>tumoural</w:t>
      </w:r>
      <w:proofErr w:type="spellEnd"/>
      <w:r>
        <w:rPr>
          <w:rFonts w:cs="Calibri"/>
          <w:color w:val="333333"/>
          <w:sz w:val="22"/>
          <w:szCs w:val="22"/>
        </w:rPr>
        <w:t xml:space="preserve"> T-cells (Consensus Molecular Subtype, CMS4) are particularly insensitive to ICB and have a dismal outcome. </w:t>
      </w:r>
      <w:r w:rsidRPr="00504844">
        <w:rPr>
          <w:rFonts w:cs="Calibri"/>
          <w:color w:val="333333"/>
          <w:sz w:val="22"/>
          <w:szCs w:val="22"/>
        </w:rPr>
        <w:t xml:space="preserve">TGFβ signalling is a defining feature of CMS4 CRC </w:t>
      </w:r>
      <w:r>
        <w:rPr>
          <w:rFonts w:cs="Calibri"/>
          <w:color w:val="333333"/>
          <w:sz w:val="22"/>
          <w:szCs w:val="22"/>
        </w:rPr>
        <w:t xml:space="preserve">and a major regulator of the cancer ECM, having been </w:t>
      </w:r>
      <w:r w:rsidRPr="00504844">
        <w:rPr>
          <w:rFonts w:cs="Calibri"/>
          <w:color w:val="333333"/>
          <w:sz w:val="22"/>
          <w:szCs w:val="22"/>
        </w:rPr>
        <w:t>postulated to drive stromal activation and immune evasion</w:t>
      </w:r>
      <w:r>
        <w:rPr>
          <w:rFonts w:cs="Calibri"/>
          <w:color w:val="333333"/>
          <w:sz w:val="22"/>
          <w:szCs w:val="22"/>
        </w:rPr>
        <w:t>, positioning it as a target for ICB sensitisation. However, because TGF</w:t>
      </w:r>
      <w:r w:rsidRPr="00504844">
        <w:rPr>
          <w:rFonts w:cs="Calibri"/>
          <w:color w:val="333333"/>
          <w:sz w:val="22"/>
          <w:szCs w:val="22"/>
        </w:rPr>
        <w:t>β</w:t>
      </w:r>
      <w:r>
        <w:rPr>
          <w:rFonts w:cs="Calibri"/>
          <w:color w:val="333333"/>
          <w:sz w:val="22"/>
          <w:szCs w:val="22"/>
        </w:rPr>
        <w:t xml:space="preserve"> is a pleotropic cytokine, targeting ECM regulators downstream of TGF</w:t>
      </w:r>
      <w:r w:rsidRPr="00504844">
        <w:rPr>
          <w:rFonts w:cs="Calibri"/>
          <w:color w:val="333333"/>
          <w:sz w:val="22"/>
          <w:szCs w:val="22"/>
        </w:rPr>
        <w:t>β</w:t>
      </w:r>
      <w:r>
        <w:rPr>
          <w:rFonts w:cs="Calibri"/>
          <w:color w:val="333333"/>
          <w:sz w:val="22"/>
          <w:szCs w:val="22"/>
        </w:rPr>
        <w:t xml:space="preserve"> may provide greater therapeutic precision. </w:t>
      </w:r>
    </w:p>
    <w:p w14:paraId="3C128D62" w14:textId="77777777" w:rsidR="00B30E02" w:rsidRDefault="00B30E02" w:rsidP="00B30E02">
      <w:pPr>
        <w:contextualSpacing/>
        <w:rPr>
          <w:rFonts w:cs="Calibri"/>
          <w:color w:val="333333"/>
          <w:sz w:val="22"/>
          <w:szCs w:val="22"/>
        </w:rPr>
      </w:pPr>
    </w:p>
    <w:p w14:paraId="2EC6C2AB" w14:textId="77777777" w:rsidR="00B30E02" w:rsidRDefault="00B30E02" w:rsidP="00B30E02">
      <w:pPr>
        <w:contextualSpacing/>
        <w:rPr>
          <w:rFonts w:cs="Calibri"/>
          <w:color w:val="333333"/>
          <w:sz w:val="22"/>
          <w:szCs w:val="22"/>
        </w:rPr>
      </w:pPr>
      <w:r>
        <w:rPr>
          <w:rFonts w:cs="Calibri"/>
          <w:color w:val="333333"/>
          <w:sz w:val="22"/>
          <w:szCs w:val="22"/>
        </w:rPr>
        <w:t xml:space="preserve">In healthy tissues, the ECM provides </w:t>
      </w:r>
      <w:r w:rsidRPr="00955D84">
        <w:rPr>
          <w:rFonts w:cs="Calibri"/>
          <w:color w:val="333333"/>
          <w:sz w:val="22"/>
          <w:szCs w:val="22"/>
        </w:rPr>
        <w:t>guidance signals that traffic immune cell</w:t>
      </w:r>
      <w:r>
        <w:rPr>
          <w:rFonts w:cs="Calibri"/>
          <w:color w:val="333333"/>
          <w:sz w:val="22"/>
          <w:szCs w:val="22"/>
        </w:rPr>
        <w:t>s</w:t>
      </w:r>
      <w:r w:rsidRPr="00955D84">
        <w:rPr>
          <w:rFonts w:cs="Calibri"/>
          <w:color w:val="333333"/>
          <w:sz w:val="22"/>
          <w:szCs w:val="22"/>
        </w:rPr>
        <w:t xml:space="preserve"> through </w:t>
      </w:r>
      <w:r>
        <w:rPr>
          <w:rFonts w:cs="Calibri"/>
          <w:color w:val="333333"/>
          <w:sz w:val="22"/>
          <w:szCs w:val="22"/>
        </w:rPr>
        <w:t>the stroma</w:t>
      </w:r>
      <w:r>
        <w:rPr>
          <w:rFonts w:cs="Calibri"/>
          <w:color w:val="333333"/>
          <w:sz w:val="22"/>
          <w:szCs w:val="22"/>
        </w:rPr>
        <w:fldChar w:fldCharType="begin"/>
      </w:r>
      <w:r>
        <w:rPr>
          <w:rFonts w:cs="Calibri"/>
          <w:color w:val="333333"/>
          <w:sz w:val="22"/>
          <w:szCs w:val="22"/>
        </w:rPr>
        <w:instrText xml:space="preserve"> ADDIN ZOTERO_ITEM CSL_CITATION {"citationID":"fVU2mFdu","properties":{"formattedCitation":"(1)","plainCitation":"(1)","noteIndex":0},"citationItems":[{"id":2305,"uris":["http://zotero.org/users/270347/items/NYZEEGP3"],"uri":["http://zotero.org/users/270347/items/NYZEEGP3"],"itemData":{"id":2305,"type":"article-journal","abstract":"The extracellular matrix (ECM) plays an increasingly recognised role in the development and progression of cancer. Whilst significant progress has been made in targeting aspects of the tumour microenvironment such as tumour immunity and angiogenesis, there are no therapies that address the cancer ECM. Importantly, immune function relies heavily on the structure, physics and composition of the ECM, indicating that cancer ECM and immunity are mechanistically inseparable. In this review we highlight mechanisms by which the ECM shapes tumour immunity, identifying potential therapeutic targets within the ECM. These data indicate that to fully realise the potential of cancer immunotherapy, the cancer ECM requires simultaneous consideration.","container-title":"Cancers","DOI":"10.3390/cancers12113331","ISSN":"2072-6694","issue":"11","journalAbbreviation":"Cancers (Basel)","language":"eng","note":"PMID: 33187209","source":"PubMed","title":"Cancer Extracellular Matrix Proteins Regulate Tumour Immunity","volume":"12","author":[{"family":"Gordon-Weeks","given":"Alex"},{"family":"E Yuzhalin","given":"Arseniy"}],"issued":{"date-parts":[["2020",11,11]]}}}],"schema":"https://github.com/citation-style-language/schema/raw/master/csl-citation.json"} </w:instrText>
      </w:r>
      <w:r>
        <w:rPr>
          <w:rFonts w:cs="Calibri"/>
          <w:color w:val="333333"/>
          <w:sz w:val="22"/>
          <w:szCs w:val="22"/>
        </w:rPr>
        <w:fldChar w:fldCharType="separate"/>
      </w:r>
      <w:r>
        <w:rPr>
          <w:rFonts w:cs="Calibri"/>
          <w:noProof/>
          <w:color w:val="333333"/>
          <w:sz w:val="22"/>
          <w:szCs w:val="22"/>
        </w:rPr>
        <w:t>(1)</w:t>
      </w:r>
      <w:r>
        <w:rPr>
          <w:rFonts w:cs="Calibri"/>
          <w:color w:val="333333"/>
          <w:sz w:val="22"/>
          <w:szCs w:val="22"/>
        </w:rPr>
        <w:fldChar w:fldCharType="end"/>
      </w:r>
      <w:r w:rsidRPr="00955D84">
        <w:rPr>
          <w:rFonts w:cs="Calibri"/>
          <w:color w:val="333333"/>
          <w:sz w:val="22"/>
          <w:szCs w:val="22"/>
        </w:rPr>
        <w:t xml:space="preserve">. Immune cells interact with </w:t>
      </w:r>
      <w:r>
        <w:rPr>
          <w:rFonts w:cs="Calibri"/>
          <w:color w:val="333333"/>
          <w:sz w:val="22"/>
          <w:szCs w:val="22"/>
        </w:rPr>
        <w:t xml:space="preserve">fibrillar </w:t>
      </w:r>
      <w:r w:rsidRPr="00955D84">
        <w:rPr>
          <w:rFonts w:cs="Calibri"/>
          <w:color w:val="333333"/>
          <w:sz w:val="22"/>
          <w:szCs w:val="22"/>
        </w:rPr>
        <w:t>collagen</w:t>
      </w:r>
      <w:r>
        <w:rPr>
          <w:rFonts w:cs="Calibri"/>
          <w:color w:val="333333"/>
          <w:sz w:val="22"/>
          <w:szCs w:val="22"/>
        </w:rPr>
        <w:t>s</w:t>
      </w:r>
      <w:r w:rsidR="00D215DD">
        <w:rPr>
          <w:rFonts w:cs="Calibri"/>
          <w:color w:val="333333"/>
          <w:sz w:val="22"/>
          <w:szCs w:val="22"/>
        </w:rPr>
        <w:t xml:space="preserve"> in the ECM</w:t>
      </w:r>
      <w:r w:rsidRPr="00955D84">
        <w:rPr>
          <w:rFonts w:cs="Calibri"/>
          <w:color w:val="333333"/>
          <w:sz w:val="22"/>
          <w:szCs w:val="22"/>
        </w:rPr>
        <w:t xml:space="preserve"> through </w:t>
      </w:r>
      <w:proofErr w:type="spellStart"/>
      <w:r w:rsidRPr="00955D84">
        <w:rPr>
          <w:rFonts w:cs="Calibri"/>
          <w:color w:val="333333"/>
          <w:sz w:val="22"/>
          <w:szCs w:val="22"/>
        </w:rPr>
        <w:t>discoidin</w:t>
      </w:r>
      <w:proofErr w:type="spellEnd"/>
      <w:r w:rsidRPr="00955D84">
        <w:rPr>
          <w:rFonts w:cs="Calibri"/>
          <w:color w:val="333333"/>
          <w:sz w:val="22"/>
          <w:szCs w:val="22"/>
        </w:rPr>
        <w:t xml:space="preserve"> domain</w:t>
      </w:r>
      <w:r>
        <w:rPr>
          <w:rFonts w:cs="Calibri"/>
          <w:color w:val="333333"/>
          <w:sz w:val="22"/>
          <w:szCs w:val="22"/>
        </w:rPr>
        <w:fldChar w:fldCharType="begin"/>
      </w:r>
      <w:r>
        <w:rPr>
          <w:rFonts w:cs="Calibri"/>
          <w:color w:val="333333"/>
          <w:sz w:val="22"/>
          <w:szCs w:val="22"/>
        </w:rPr>
        <w:instrText xml:space="preserve"> ADDIN ZOTERO_ITEM CSL_CITATION {"citationID":"D9zSGMVA","properties":{"formattedCitation":"(2)","plainCitation":"(2)","noteIndex":0},"citationItems":[{"id":2238,"uris":["http://zotero.org/users/270347/items/NGRQFBWJ"],"uri":["http://zotero.org/users/270347/items/NGRQFBWJ"],"itemData":{"id":2238,"type":"article-journal","abstract":"Although integrins are crucial for migration of leukocytes through endothelium, integrin-independent mechanisms appear to take over and mediate the migration of leukocytes through extracellular matrix (ECM) in a three-dimensional tissue microenvironment. Discoidin domain receptor (DDR) 1 is a receptor tyrosine kinase activated by collagen, the most abundant ECM protein. In the present study, we detected that peripheral blood mononuclear cells (PBMC) and polymorphonuclear neutrophils were induced to express DDR1 after incubation in RPMI 1640. The expression level of DDR1 in PBMC was increased further by stimulation with tumor necrosis factor-alpha, interleukin-1beta, granulocyte-macrophage colony-stimulating factor, lipopolysaccharide, or phytohemagglutinin, but not with interferon-gamma. In vivo, DDR1 mRNA was detectable in mononuclear leukocytes infiltrating human renal tumor tissue. Among three DDR1 isoforms, DDR1alpha was the major transcript in leukocytes. Functionally, overexpression of either DDR1alpha or DDR1beta in THP-1 cells resulted in increased adherence to collagen-coated plates in a beta1-integrin independent manner. However, only DDR1alpha-, but not DDR1beta-, overexpressing cells exhibited marked pseudopod extension and migrated successfully through three-dimensional collagen lattices. Consequently, we propose that the interaction of DDR1alpha with collagen of the ECM results in a requisite intracellular signaling that enables leukocytes to migrate in a tissue microenvironment and participate in host defense.","container-title":"FASEB journal: official publication of the Federation of American Societies for Experimental Biology","DOI":"10.1096/fj.01-0359fje","ISSN":"1530-6860","issue":"14","journalAbbreviation":"FASEB J","language":"eng","note":"PMID: 11606478","page":"2724-2726","source":"PubMed","title":"Discoidin domain receptor 1 isoform-a (DDR1alpha) promotes migration of leukocytes in three-dimensional collagen lattices","volume":"15","author":[{"family":"Kamohara","given":"H."},{"family":"Yamashiro","given":"S."},{"family":"Galligan","given":"C."},{"family":"Yoshimura","given":"T."}],"issued":{"date-parts":[["2001",12]]}}}],"schema":"https://github.com/citation-style-language/schema/raw/master/csl-citation.json"} </w:instrText>
      </w:r>
      <w:r>
        <w:rPr>
          <w:rFonts w:cs="Calibri"/>
          <w:color w:val="333333"/>
          <w:sz w:val="22"/>
          <w:szCs w:val="22"/>
        </w:rPr>
        <w:fldChar w:fldCharType="separate"/>
      </w:r>
      <w:r>
        <w:rPr>
          <w:rFonts w:cs="Calibri"/>
          <w:noProof/>
          <w:color w:val="333333"/>
          <w:sz w:val="22"/>
          <w:szCs w:val="22"/>
        </w:rPr>
        <w:t>(2)</w:t>
      </w:r>
      <w:r>
        <w:rPr>
          <w:rFonts w:cs="Calibri"/>
          <w:color w:val="333333"/>
          <w:sz w:val="22"/>
          <w:szCs w:val="22"/>
        </w:rPr>
        <w:fldChar w:fldCharType="end"/>
      </w:r>
      <w:r w:rsidRPr="00955D84">
        <w:rPr>
          <w:rFonts w:cs="Calibri"/>
          <w:color w:val="333333"/>
          <w:sz w:val="22"/>
          <w:szCs w:val="22"/>
        </w:rPr>
        <w:t xml:space="preserve"> and integrin receptors</w:t>
      </w:r>
      <w:r>
        <w:rPr>
          <w:rFonts w:cs="Calibri"/>
          <w:color w:val="333333"/>
          <w:sz w:val="22"/>
          <w:szCs w:val="22"/>
        </w:rPr>
        <w:fldChar w:fldCharType="begin"/>
      </w:r>
      <w:r>
        <w:rPr>
          <w:rFonts w:cs="Calibri"/>
          <w:color w:val="333333"/>
          <w:sz w:val="22"/>
          <w:szCs w:val="22"/>
        </w:rPr>
        <w:instrText xml:space="preserve"> ADDIN ZOTERO_ITEM CSL_CITATION {"citationID":"CBgMDzbw","properties":{"formattedCitation":"(3)","plainCitation":"(3)","noteIndex":0},"citationItems":[{"id":1753,"uris":["http://zotero.org/users/270347/items/SF5RBRQF"],"uri":["http://zotero.org/users/270347/items/SF5RBRQF"],"itemData":{"id":1753,"type":"article-journal","abstract":"Cell migration may depend on integrin-mediated adhesion to and deadhesion from extracellular matrix ligands. This concept, however, has not yet been confirmed for T lymphocytes migrating in three-dimensional extracellular matrices. We investigated receptor involvement in T cell migration combining a three-dimensional collagen matrix model with time-lapse videomicroscopy, computer-assisted cell tracking and confocal microscopy. In collagen lattices, the migration of CD4+ T cells (1) involved interactions with collagen fibers at the leading edge and uropod likewise, (2) occurred independently of the co-clustering of beta1, beta2, or beta3 integrins with F-actin, focal adhesion kinase, and phosphotyrosine at interactions with collagen fibers, (3) was counteracted by high-affinity beta1 integrin binding induced by antibody TS2/16; however, (4) the migration could not be blocked by a combination of adhesion-perturbing anti-beta1, -beta2, -beta3, and alpha v integrin antibodies. Integrin blocking neither affected cell polarization, interaction with fibers, beta1 integrin distribution, migration velocity, path structure, nor the number of locomoting cells in spontaneously migrating or concanavalin A-activated cells. Hence, T lymphocytes migrating in three-dimensional collagen matrices may utilize highly transient interactions with collagen fibers of low adhesivity, thereby differing from focal adhesion-dependent migration strategies employed by other cells.","container-title":"European Journal of Immunology","DOI":"10.1002/(SICI)1521-4141(199808)28:08&lt;2331::AID-IMMU2331&gt;3.0.CO;2-C","ISSN":"0014-2980","issue":"8","journalAbbreviation":"Eur. J. Immunol.","language":"eng","note":"PMID: 9710211","page":"2331-2343","source":"PubMed","title":"CD4+ T lymphocytes migrating in three-dimensional collagen lattices lack focal adhesions and utilize beta1 integrin-independent strategies for polarization, interaction with collagen fibers and locomotion","volume":"28","author":[{"family":"Friedl","given":"P."},{"family":"Entschladen","given":"F."},{"family":"Conrad","given":"C."},{"family":"Niggemann","given":"B."},{"family":"Zänker","given":"K. S."}],"issued":{"date-parts":[["1998",8]]}}}],"schema":"https://github.com/citation-style-language/schema/raw/master/csl-citation.json"} </w:instrText>
      </w:r>
      <w:r>
        <w:rPr>
          <w:rFonts w:cs="Calibri"/>
          <w:color w:val="333333"/>
          <w:sz w:val="22"/>
          <w:szCs w:val="22"/>
        </w:rPr>
        <w:fldChar w:fldCharType="separate"/>
      </w:r>
      <w:r>
        <w:rPr>
          <w:rFonts w:cs="Calibri"/>
          <w:noProof/>
          <w:color w:val="333333"/>
          <w:sz w:val="22"/>
          <w:szCs w:val="22"/>
        </w:rPr>
        <w:t>(3)</w:t>
      </w:r>
      <w:r>
        <w:rPr>
          <w:rFonts w:cs="Calibri"/>
          <w:color w:val="333333"/>
          <w:sz w:val="22"/>
          <w:szCs w:val="22"/>
        </w:rPr>
        <w:fldChar w:fldCharType="end"/>
      </w:r>
      <w:r w:rsidRPr="00955D84">
        <w:rPr>
          <w:rFonts w:cs="Calibri"/>
          <w:color w:val="333333"/>
          <w:sz w:val="22"/>
          <w:szCs w:val="22"/>
        </w:rPr>
        <w:t xml:space="preserve"> </w:t>
      </w:r>
      <w:r>
        <w:rPr>
          <w:rFonts w:cs="Calibri"/>
          <w:color w:val="333333"/>
          <w:sz w:val="22"/>
          <w:szCs w:val="22"/>
        </w:rPr>
        <w:t>from which they</w:t>
      </w:r>
      <w:r w:rsidRPr="00955D84">
        <w:rPr>
          <w:rFonts w:cs="Calibri"/>
          <w:color w:val="333333"/>
          <w:sz w:val="22"/>
          <w:szCs w:val="22"/>
        </w:rPr>
        <w:t xml:space="preserve"> receive activation cues. </w:t>
      </w:r>
      <w:r>
        <w:rPr>
          <w:rFonts w:cs="Calibri"/>
          <w:color w:val="333333"/>
          <w:sz w:val="22"/>
          <w:szCs w:val="22"/>
        </w:rPr>
        <w:t>Because CMS4 CRCs display excessive ECM gene expression, this raises the possibility that these tumours utilise abnormal ECM deposition to selectively regulate movement of T-cells and immunosuppressive myeloid cells, effectively partitioning tumour immunity and providing a barrier between T-cells and the evolving mutant epithelium. In support of this concept, i</w:t>
      </w:r>
      <w:r w:rsidRPr="00955D84">
        <w:rPr>
          <w:rFonts w:cs="Calibri"/>
          <w:color w:val="333333"/>
          <w:sz w:val="22"/>
          <w:szCs w:val="22"/>
        </w:rPr>
        <w:t xml:space="preserve">nverse correlation between </w:t>
      </w:r>
      <w:r>
        <w:rPr>
          <w:rFonts w:cs="Calibri"/>
          <w:color w:val="333333"/>
          <w:sz w:val="22"/>
          <w:szCs w:val="22"/>
        </w:rPr>
        <w:t>collagen fibre</w:t>
      </w:r>
      <w:r w:rsidRPr="00955D84">
        <w:rPr>
          <w:rFonts w:cs="Calibri"/>
          <w:color w:val="333333"/>
          <w:sz w:val="22"/>
          <w:szCs w:val="22"/>
        </w:rPr>
        <w:t xml:space="preserve"> abundance and T-cell </w:t>
      </w:r>
      <w:r>
        <w:rPr>
          <w:rFonts w:cs="Calibri"/>
          <w:color w:val="333333"/>
          <w:sz w:val="22"/>
          <w:szCs w:val="22"/>
        </w:rPr>
        <w:t>number</w:t>
      </w:r>
      <w:r w:rsidRPr="00955D84">
        <w:rPr>
          <w:rFonts w:cs="Calibri"/>
          <w:color w:val="333333"/>
          <w:sz w:val="22"/>
          <w:szCs w:val="22"/>
        </w:rPr>
        <w:t xml:space="preserve"> ha</w:t>
      </w:r>
      <w:r>
        <w:rPr>
          <w:rFonts w:cs="Calibri"/>
          <w:color w:val="333333"/>
          <w:sz w:val="22"/>
          <w:szCs w:val="22"/>
        </w:rPr>
        <w:t>s</w:t>
      </w:r>
      <w:r w:rsidRPr="00955D84">
        <w:rPr>
          <w:rFonts w:cs="Calibri"/>
          <w:color w:val="333333"/>
          <w:sz w:val="22"/>
          <w:szCs w:val="22"/>
        </w:rPr>
        <w:t xml:space="preserve"> been documented in breast</w:t>
      </w:r>
      <w:r>
        <w:rPr>
          <w:rFonts w:cs="Calibri"/>
          <w:color w:val="333333"/>
          <w:sz w:val="22"/>
          <w:szCs w:val="22"/>
        </w:rPr>
        <w:fldChar w:fldCharType="begin"/>
      </w:r>
      <w:r>
        <w:rPr>
          <w:rFonts w:cs="Calibri"/>
          <w:color w:val="333333"/>
          <w:sz w:val="22"/>
          <w:szCs w:val="22"/>
        </w:rPr>
        <w:instrText xml:space="preserve"> ADDIN ZOTERO_ITEM CSL_CITATION {"citationID":"yqqUh7YI","properties":{"formattedCitation":"(4)","plainCitation":"(4)","noteIndex":0},"citationItems":[{"id":2333,"uris":["http://zotero.org/users/270347/items/R7Y6T4KN"],"uri":["http://zotero.org/users/270347/items/R7Y6T4KN"],"itemData":{"id":2333,"type":"article-journal","abstract":"Stromal stiffening accompanies malignancy, compromises treatment and promotes tumour aggression. Clarifying the molecular nature and the factors that regulate stromal stiffening in tumours should identify biomarkers to stratify patients for therapy and interventions to improve outcome. We profiled lysyl hydroxylase-mediated and lysyl oxidase-mediated collagen crosslinks and quantified the greatest abundance of total and complex collagen crosslinks in aggressive human breast cancer subtypes with the stiffest stroma. These tissues harbour the highest number of tumour-associated macrophages, whose therapeutic ablation in experimental models reduced metastasis, and decreased collagen crosslinks and stromal stiffening. Epithelial-targeted expression of the crosslinking enzyme, lysyl oxidase, had no impact on collagen crosslinking in PyMT mammary tumours, whereas stromal cell targeting did. Stromal cells in microdissected human tumours expressed the highest level of collagen crosslinking enzymes. Immunohistochemical analysis of biopsies from a cohort of patients with breast cancer revealed that stromal expression of lysyl hydroxylase 2, an enzyme that induces hydroxylysine aldehyde-derived collagen crosslinks and stromal stiffening, correlated significantly with disease specific mortality. The findings link tissue inflammation, stromal cell-mediated collagen crosslinking and stiffening to tumour aggression and identify lysyl hydroxylase 2 as a stromal biomarker.","container-title":"Nature Materials","DOI":"10.1038/s41563-020-00849-5","ISSN":"1476-4660","language":"en","note":"publisher: Nature Publishing Group","page":"1-12","source":"www.nature.com","title":"Tumour-associated macrophages drive stromal cell-dependent collagen crosslinking and stiffening to promote breast cancer aggression","author":[{"family":"Maller","given":"Ori"},{"family":"Drain","given":"Allison P."},{"family":"Barrett","given":"Alexander S."},{"family":"Borgquist","given":"Signe"},{"family":"Ruffell","given":"Brian"},{"family":"Zakharevich","given":"Igor"},{"family":"Pham","given":"Thanh T."},{"family":"Gruosso","given":"Tina"},{"family":"Kuasne","given":"Hellen"},{"family":"Lakins","given":"Johnathon N."},{"family":"Acerbi","given":"Irene"},{"family":"Barnes","given":"J. Matthew"},{"family":"Nemkov","given":"Travis"},{"family":"Chauhan","given":"Aastha"},{"family":"Gruenberg","given":"Jessica"},{"family":"Nasir","given":"Aqsa"},{"family":"Bjarnadottir","given":"Olof"},{"family":"Werb","given":"Zena"},{"family":"Kabos","given":"Peter"},{"family":"Chen","given":"Yunn-Yi"},{"family":"Hwang","given":"E. Shelley"},{"family":"Park","given":"Morag"},{"family":"Coussens","given":"Lisa M."},{"family":"Nelson","given":"Andrew C."},{"family":"Hansen","given":"Kirk C."},{"family":"Weaver","given":"Valerie M."}],"issued":{"date-parts":[["2020",11,30]]}}}],"schema":"https://github.com/citation-style-language/schema/raw/master/csl-citation.json"} </w:instrText>
      </w:r>
      <w:r>
        <w:rPr>
          <w:rFonts w:cs="Calibri"/>
          <w:color w:val="333333"/>
          <w:sz w:val="22"/>
          <w:szCs w:val="22"/>
        </w:rPr>
        <w:fldChar w:fldCharType="separate"/>
      </w:r>
      <w:r>
        <w:rPr>
          <w:rFonts w:cs="Calibri"/>
          <w:noProof/>
          <w:color w:val="333333"/>
          <w:sz w:val="22"/>
          <w:szCs w:val="22"/>
        </w:rPr>
        <w:t>(4)</w:t>
      </w:r>
      <w:r>
        <w:rPr>
          <w:rFonts w:cs="Calibri"/>
          <w:color w:val="333333"/>
          <w:sz w:val="22"/>
          <w:szCs w:val="22"/>
        </w:rPr>
        <w:fldChar w:fldCharType="end"/>
      </w:r>
      <w:r w:rsidRPr="00955D84">
        <w:rPr>
          <w:rFonts w:cs="Calibri"/>
          <w:color w:val="333333"/>
          <w:sz w:val="22"/>
          <w:szCs w:val="22"/>
        </w:rPr>
        <w:t xml:space="preserve"> and pancreatic cancer</w:t>
      </w:r>
      <w:r>
        <w:rPr>
          <w:rFonts w:cs="Calibri"/>
          <w:color w:val="333333"/>
          <w:sz w:val="22"/>
          <w:szCs w:val="22"/>
        </w:rPr>
        <w:fldChar w:fldCharType="begin"/>
      </w:r>
      <w:r>
        <w:rPr>
          <w:rFonts w:cs="Calibri"/>
          <w:color w:val="333333"/>
          <w:sz w:val="22"/>
          <w:szCs w:val="22"/>
        </w:rPr>
        <w:instrText xml:space="preserve"> ADDIN ZOTERO_ITEM CSL_CITATION {"citationID":"Ybf2WqNR","properties":{"formattedCitation":"(5)","plainCitation":"(5)","noteIndex":0},"citationItems":[{"id":1738,"uris":["http://zotero.org/users/270347/items/TEFTQEDZ"],"uri":["http://zotero.org/users/270347/items/TEFTQEDZ"],"itemData":{"id":1738,"type":"article-journal","abstract":"Purpose: Pancreatic ductal adenocarcinoma (PDAC) is characterized by extensive collagen-rich stroma. T cells that infiltrate pancreatic cancers frequently become trapped in the stroma and do not contact tumor cells. Here, we aimed to analyze how chemokines and extracellular matrix (ECM) collagen interact in mediating T-cell infiltration in PDAC.\nExperimental Design: T-cell distribution and ECM structure within tumors were analyzed. Chemokine concentrations in human PDAC were compared with the levels of immune cell infiltration. We assessed the influences of selected chemokines and collagen on directed and random T-cell movement using in vitro migration systems.\nResults: PDAC overproduced several T-cell-active chemokines, but their levels were not correlated with intratumoral T-cell infiltration. In the absence of collagen, directed migration of activated T cells was induced by chemokines. Interestingly, collagen itself promoted high migratory activity of T cells, but completely abolished chemokine-guided movement. This effect was not altered by a β1-integrin blocking antibody. Activated T cells actively migrated in low-density collagen matrices, but migration was inhibited in dense collagen. Accordingly, T cells were heterogeneously distributed in the pancreatic cancer stroma, with the majority residing in areas of low-density collagen far from tumor clusters.\nConclusion: The excessive desmoplasia in PDAC promotes T-cell migration by contact guidance, which abrogates tumor cell–directed movement. Furthermore, dense collagen networks represent a physical barrier, additionally rearranging T-cell distribution to favor tumor stroma. These mechanisms are mainly responsible for intrastromal T-cell trapping in pancreatic cancer and may hinder the development of T-cell–based immunotherapies. Clin Cancer Res; 20(13); 3422–33. ©2014 AACR.","container-title":"Clinical Cancer Research","DOI":"10.1158/1078-0432.CCR-13-2972","ISSN":"1078-0432, 1557-3265","issue":"13","journalAbbreviation":"Clin Cancer Res","language":"en","note":"publisher: American Association for Cancer Research\nsection: Human Cancer Biology\nPMID: 24763614","page":"3422-3433","source":"clincancerres.aacrjournals.org","title":"Prevailing Role of Contact Guidance in Intrastromal T-cell Trapping in Human Pancreatic Cancer","volume":"20","author":[{"family":"Hartmann","given":"Natalie"},{"family":"Giese","given":"Nathalia A."},{"family":"Giese","given":"Thomas"},{"family":"Poschke","given":"Isabel"},{"family":"Offringa","given":"Rienk"},{"family":"Werner","given":"Jens"},{"family":"Ryschich","given":"Eduard"}],"issued":{"date-parts":[["2014",7,1]]}}}],"schema":"https://github.com/citation-style-language/schema/raw/master/csl-citation.json"} </w:instrText>
      </w:r>
      <w:r>
        <w:rPr>
          <w:rFonts w:cs="Calibri"/>
          <w:color w:val="333333"/>
          <w:sz w:val="22"/>
          <w:szCs w:val="22"/>
        </w:rPr>
        <w:fldChar w:fldCharType="separate"/>
      </w:r>
      <w:r>
        <w:rPr>
          <w:rFonts w:cs="Calibri"/>
          <w:noProof/>
          <w:color w:val="333333"/>
          <w:sz w:val="22"/>
          <w:szCs w:val="22"/>
        </w:rPr>
        <w:t>(5)</w:t>
      </w:r>
      <w:r>
        <w:rPr>
          <w:rFonts w:cs="Calibri"/>
          <w:color w:val="333333"/>
          <w:sz w:val="22"/>
          <w:szCs w:val="22"/>
        </w:rPr>
        <w:fldChar w:fldCharType="end"/>
      </w:r>
      <w:r>
        <w:rPr>
          <w:rFonts w:cs="Calibri"/>
          <w:color w:val="333333"/>
          <w:sz w:val="22"/>
          <w:szCs w:val="22"/>
        </w:rPr>
        <w:t xml:space="preserve"> and inhibition</w:t>
      </w:r>
      <w:r w:rsidRPr="00955D84">
        <w:rPr>
          <w:rFonts w:cs="Calibri"/>
          <w:color w:val="333333"/>
          <w:sz w:val="22"/>
          <w:szCs w:val="22"/>
        </w:rPr>
        <w:t xml:space="preserve"> of collagen </w:t>
      </w:r>
      <w:r>
        <w:rPr>
          <w:rFonts w:cs="Calibri"/>
          <w:color w:val="333333"/>
          <w:sz w:val="22"/>
          <w:szCs w:val="22"/>
        </w:rPr>
        <w:t>deposition and cross-linking</w:t>
      </w:r>
      <w:r w:rsidRPr="00955D84">
        <w:rPr>
          <w:rFonts w:cs="Calibri"/>
          <w:color w:val="333333"/>
          <w:sz w:val="22"/>
          <w:szCs w:val="22"/>
        </w:rPr>
        <w:t xml:space="preserve"> </w:t>
      </w:r>
      <w:r>
        <w:rPr>
          <w:rFonts w:cs="Calibri"/>
          <w:color w:val="333333"/>
          <w:sz w:val="22"/>
          <w:szCs w:val="22"/>
        </w:rPr>
        <w:t xml:space="preserve">improved T-cell infiltration and </w:t>
      </w:r>
      <w:r w:rsidRPr="00955D84">
        <w:rPr>
          <w:rFonts w:cs="Calibri"/>
          <w:color w:val="333333"/>
          <w:sz w:val="22"/>
          <w:szCs w:val="22"/>
        </w:rPr>
        <w:t>sensitise</w:t>
      </w:r>
      <w:r>
        <w:rPr>
          <w:rFonts w:cs="Calibri"/>
          <w:color w:val="333333"/>
          <w:sz w:val="22"/>
          <w:szCs w:val="22"/>
        </w:rPr>
        <w:t>d</w:t>
      </w:r>
      <w:r w:rsidRPr="00955D84">
        <w:rPr>
          <w:rFonts w:cs="Calibri"/>
          <w:color w:val="333333"/>
          <w:sz w:val="22"/>
          <w:szCs w:val="22"/>
        </w:rPr>
        <w:t xml:space="preserve"> </w:t>
      </w:r>
      <w:r>
        <w:rPr>
          <w:rFonts w:cs="Calibri"/>
          <w:color w:val="333333"/>
          <w:sz w:val="22"/>
          <w:szCs w:val="22"/>
        </w:rPr>
        <w:t xml:space="preserve">murine breast cancers </w:t>
      </w:r>
      <w:r w:rsidRPr="00955D84">
        <w:rPr>
          <w:rFonts w:cs="Calibri"/>
          <w:color w:val="333333"/>
          <w:sz w:val="22"/>
          <w:szCs w:val="22"/>
        </w:rPr>
        <w:t xml:space="preserve">to </w:t>
      </w:r>
      <w:r>
        <w:rPr>
          <w:rFonts w:cs="Calibri"/>
          <w:color w:val="333333"/>
          <w:sz w:val="22"/>
          <w:szCs w:val="22"/>
        </w:rPr>
        <w:t>ICB</w:t>
      </w:r>
      <w:r>
        <w:rPr>
          <w:rFonts w:cs="Calibri"/>
          <w:color w:val="333333"/>
          <w:sz w:val="22"/>
          <w:szCs w:val="22"/>
        </w:rPr>
        <w:fldChar w:fldCharType="begin"/>
      </w:r>
      <w:r>
        <w:rPr>
          <w:rFonts w:cs="Calibri"/>
          <w:color w:val="333333"/>
          <w:sz w:val="22"/>
          <w:szCs w:val="22"/>
        </w:rPr>
        <w:instrText xml:space="preserve"> ADDIN ZOTERO_ITEM CSL_CITATION {"citationID":"JR6SC55p","properties":{"formattedCitation":"(4)","plainCitation":"(4)","noteIndex":0},"citationItems":[{"id":2333,"uris":["http://zotero.org/users/270347/items/R7Y6T4KN"],"uri":["http://zotero.org/users/270347/items/R7Y6T4KN"],"itemData":{"id":2333,"type":"article-journal","abstract":"Stromal stiffening accompanies malignancy, compromises treatment and promotes tumour aggression. Clarifying the molecular nature and the factors that regulate stromal stiffening in tumours should identify biomarkers to stratify patients for therapy and interventions to improve outcome. We profiled lysyl hydroxylase-mediated and lysyl oxidase-mediated collagen crosslinks and quantified the greatest abundance of total and complex collagen crosslinks in aggressive human breast cancer subtypes with the stiffest stroma. These tissues harbour the highest number of tumour-associated macrophages, whose therapeutic ablation in experimental models reduced metastasis, and decreased collagen crosslinks and stromal stiffening. Epithelial-targeted expression of the crosslinking enzyme, lysyl oxidase, had no impact on collagen crosslinking in PyMT mammary tumours, whereas stromal cell targeting did. Stromal cells in microdissected human tumours expressed the highest level of collagen crosslinking enzymes. Immunohistochemical analysis of biopsies from a cohort of patients with breast cancer revealed that stromal expression of lysyl hydroxylase 2, an enzyme that induces hydroxylysine aldehyde-derived collagen crosslinks and stromal stiffening, correlated significantly with disease specific mortality. The findings link tissue inflammation, stromal cell-mediated collagen crosslinking and stiffening to tumour aggression and identify lysyl hydroxylase 2 as a stromal biomarker.","container-title":"Nature Materials","DOI":"10.1038/s41563-020-00849-5","ISSN":"1476-4660","language":"en","note":"publisher: Nature Publishing Group","page":"1-12","source":"www.nature.com","title":"Tumour-associated macrophages drive stromal cell-dependent collagen crosslinking and stiffening to promote breast cancer aggression","author":[{"family":"Maller","given":"Ori"},{"family":"Drain","given":"Allison P."},{"family":"Barrett","given":"Alexander S."},{"family":"Borgquist","given":"Signe"},{"family":"Ruffell","given":"Brian"},{"family":"Zakharevich","given":"Igor"},{"family":"Pham","given":"Thanh T."},{"family":"Gruosso","given":"Tina"},{"family":"Kuasne","given":"Hellen"},{"family":"Lakins","given":"Johnathon N."},{"family":"Acerbi","given":"Irene"},{"family":"Barnes","given":"J. Matthew"},{"family":"Nemkov","given":"Travis"},{"family":"Chauhan","given":"Aastha"},{"family":"Gruenberg","given":"Jessica"},{"family":"Nasir","given":"Aqsa"},{"family":"Bjarnadottir","given":"Olof"},{"family":"Werb","given":"Zena"},{"family":"Kabos","given":"Peter"},{"family":"Chen","given":"Yunn-Yi"},{"family":"Hwang","given":"E. Shelley"},{"family":"Park","given":"Morag"},{"family":"Coussens","given":"Lisa M."},{"family":"Nelson","given":"Andrew C."},{"family":"Hansen","given":"Kirk C."},{"family":"Weaver","given":"Valerie M."}],"issued":{"date-parts":[["2020",11,30]]}}}],"schema":"https://github.com/citation-style-language/schema/raw/master/csl-citation.json"} </w:instrText>
      </w:r>
      <w:r>
        <w:rPr>
          <w:rFonts w:cs="Calibri"/>
          <w:color w:val="333333"/>
          <w:sz w:val="22"/>
          <w:szCs w:val="22"/>
        </w:rPr>
        <w:fldChar w:fldCharType="separate"/>
      </w:r>
      <w:r>
        <w:rPr>
          <w:rFonts w:cs="Calibri"/>
          <w:noProof/>
          <w:color w:val="333333"/>
          <w:sz w:val="22"/>
          <w:szCs w:val="22"/>
        </w:rPr>
        <w:t>(4)</w:t>
      </w:r>
      <w:r>
        <w:rPr>
          <w:rFonts w:cs="Calibri"/>
          <w:color w:val="333333"/>
          <w:sz w:val="22"/>
          <w:szCs w:val="22"/>
        </w:rPr>
        <w:fldChar w:fldCharType="end"/>
      </w:r>
      <w:r>
        <w:rPr>
          <w:rFonts w:cs="Calibri"/>
          <w:color w:val="333333"/>
          <w:sz w:val="22"/>
          <w:szCs w:val="22"/>
        </w:rPr>
        <w:t xml:space="preserve">. </w:t>
      </w:r>
    </w:p>
    <w:p w14:paraId="1A26DA56" w14:textId="77777777" w:rsidR="00B30E02" w:rsidRDefault="00B30E02" w:rsidP="00B30E02">
      <w:pPr>
        <w:contextualSpacing/>
        <w:rPr>
          <w:rFonts w:cs="Calibri"/>
          <w:color w:val="333333"/>
          <w:sz w:val="22"/>
          <w:szCs w:val="22"/>
        </w:rPr>
      </w:pPr>
    </w:p>
    <w:p w14:paraId="5F92E244" w14:textId="77777777" w:rsidR="007B777E" w:rsidRDefault="00B30E02" w:rsidP="005B3925">
      <w:pPr>
        <w:contextualSpacing/>
        <w:rPr>
          <w:rFonts w:cs="Calibri"/>
          <w:color w:val="333333"/>
          <w:sz w:val="22"/>
          <w:szCs w:val="22"/>
        </w:rPr>
      </w:pPr>
      <w:r>
        <w:rPr>
          <w:rFonts w:cs="Calibri"/>
          <w:color w:val="333333"/>
          <w:sz w:val="22"/>
          <w:szCs w:val="22"/>
        </w:rPr>
        <w:t xml:space="preserve">This project investigates whether ECM structure and composition is CRC subtype and mutation-dependent through analysis of ECMs in genetically modified mouse models (GEMMs) and those produced by cultured fibroblasts activated by CRC cell lines and </w:t>
      </w:r>
      <w:r w:rsidR="003E2D6E">
        <w:rPr>
          <w:rFonts w:cs="Calibri"/>
          <w:color w:val="333333"/>
          <w:sz w:val="22"/>
          <w:szCs w:val="22"/>
        </w:rPr>
        <w:t xml:space="preserve">epithelial </w:t>
      </w:r>
      <w:r>
        <w:rPr>
          <w:rFonts w:cs="Calibri"/>
          <w:color w:val="333333"/>
          <w:sz w:val="22"/>
          <w:szCs w:val="22"/>
        </w:rPr>
        <w:t xml:space="preserve">organoids harbouring different mutations. Subsequently, ECM structure will be manipulated in-vitro to study its effect on ECM-mediated immune cell motility and activation. </w:t>
      </w:r>
      <w:r w:rsidR="004E0B8F">
        <w:rPr>
          <w:rFonts w:cs="Calibri"/>
          <w:color w:val="333333"/>
          <w:sz w:val="22"/>
          <w:szCs w:val="22"/>
        </w:rPr>
        <w:t xml:space="preserve">This will provide novel mechanistic data with a view to the identification of therapeutic targets within the ECM </w:t>
      </w:r>
      <w:r>
        <w:rPr>
          <w:rFonts w:cs="Calibri"/>
          <w:color w:val="333333"/>
          <w:sz w:val="22"/>
          <w:szCs w:val="22"/>
        </w:rPr>
        <w:t>to</w:t>
      </w:r>
      <w:r w:rsidR="00F545A6">
        <w:rPr>
          <w:rFonts w:cs="Calibri"/>
          <w:color w:val="333333"/>
          <w:sz w:val="22"/>
          <w:szCs w:val="22"/>
        </w:rPr>
        <w:t xml:space="preserve"> </w:t>
      </w:r>
      <w:r w:rsidR="004E0B8F">
        <w:rPr>
          <w:rFonts w:cs="Calibri"/>
          <w:color w:val="333333"/>
          <w:sz w:val="22"/>
          <w:szCs w:val="22"/>
        </w:rPr>
        <w:t xml:space="preserve">promote T-cell infiltration. </w:t>
      </w:r>
    </w:p>
    <w:p w14:paraId="20FF406B" w14:textId="77777777" w:rsidR="007B777E" w:rsidRDefault="007B777E" w:rsidP="005B3925">
      <w:pPr>
        <w:contextualSpacing/>
        <w:rPr>
          <w:rFonts w:cs="Calibri"/>
          <w:color w:val="333333"/>
          <w:sz w:val="22"/>
          <w:szCs w:val="22"/>
        </w:rPr>
      </w:pPr>
    </w:p>
    <w:p w14:paraId="7B570A0E" w14:textId="77777777" w:rsidR="007B777E" w:rsidRPr="00F3231B" w:rsidRDefault="007A387D" w:rsidP="005B3925">
      <w:pPr>
        <w:contextualSpacing/>
        <w:rPr>
          <w:rFonts w:cs="Calibri"/>
          <w:b/>
          <w:color w:val="FF0000"/>
        </w:rPr>
      </w:pPr>
      <w:r w:rsidRPr="00F3231B">
        <w:rPr>
          <w:rFonts w:cs="Calibri"/>
          <w:b/>
          <w:color w:val="FF0000"/>
        </w:rPr>
        <w:t>Preliminary Data</w:t>
      </w:r>
      <w:r w:rsidR="0090017B" w:rsidRPr="00F3231B">
        <w:rPr>
          <w:rFonts w:cs="Calibri"/>
          <w:b/>
          <w:color w:val="FF0000"/>
        </w:rPr>
        <w:t>.</w:t>
      </w:r>
    </w:p>
    <w:p w14:paraId="5529BC56" w14:textId="77777777" w:rsidR="00791091" w:rsidRDefault="00E656DD" w:rsidP="005B3925">
      <w:pPr>
        <w:contextualSpacing/>
        <w:rPr>
          <w:rFonts w:cs="Calibri"/>
          <w:color w:val="333333"/>
          <w:sz w:val="22"/>
          <w:szCs w:val="22"/>
        </w:rPr>
      </w:pPr>
      <w:r>
        <w:rPr>
          <w:rFonts w:cs="Calibri"/>
          <w:noProof/>
          <w:color w:val="333333"/>
          <w:sz w:val="22"/>
          <w:szCs w:val="22"/>
        </w:rPr>
        <w:drawing>
          <wp:anchor distT="0" distB="0" distL="114300" distR="114300" simplePos="0" relativeHeight="251664384" behindDoc="0" locked="0" layoutInCell="1" allowOverlap="1" wp14:anchorId="6DA43303" wp14:editId="4F45EE14">
            <wp:simplePos x="0" y="0"/>
            <wp:positionH relativeFrom="margin">
              <wp:posOffset>27785</wp:posOffset>
            </wp:positionH>
            <wp:positionV relativeFrom="margin">
              <wp:posOffset>5547360</wp:posOffset>
            </wp:positionV>
            <wp:extent cx="3528060" cy="2470150"/>
            <wp:effectExtent l="0" t="0" r="254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28060" cy="2470150"/>
                    </a:xfrm>
                    <a:prstGeom prst="rect">
                      <a:avLst/>
                    </a:prstGeom>
                  </pic:spPr>
                </pic:pic>
              </a:graphicData>
            </a:graphic>
          </wp:anchor>
        </w:drawing>
      </w:r>
      <w:r w:rsidR="00791091">
        <w:rPr>
          <w:rFonts w:cs="Calibri"/>
          <w:color w:val="333333"/>
          <w:sz w:val="22"/>
          <w:szCs w:val="22"/>
        </w:rPr>
        <w:t xml:space="preserve">To investigate whether the CRC epithelium regulates ECM structure in a CMS-dependent fashion, fibroblast transcriptome and ECM structure was assessed in fibroblast-CRC co-cultures using CRC cell lines of specified </w:t>
      </w:r>
      <w:r w:rsidR="00791091" w:rsidRPr="00955D84">
        <w:rPr>
          <w:rFonts w:cs="Calibri"/>
          <w:color w:val="333333"/>
          <w:sz w:val="22"/>
          <w:szCs w:val="22"/>
        </w:rPr>
        <w:t>CMS typ</w:t>
      </w:r>
      <w:r w:rsidR="00791091">
        <w:rPr>
          <w:rFonts w:cs="Calibri"/>
          <w:color w:val="333333"/>
          <w:sz w:val="22"/>
          <w:szCs w:val="22"/>
        </w:rPr>
        <w:t>e (Fig 2A)</w:t>
      </w:r>
      <w:r w:rsidR="00791091">
        <w:rPr>
          <w:rFonts w:cs="Calibri"/>
          <w:color w:val="333333"/>
          <w:sz w:val="22"/>
          <w:szCs w:val="22"/>
        </w:rPr>
        <w:fldChar w:fldCharType="begin"/>
      </w:r>
      <w:r w:rsidR="00F3231B">
        <w:rPr>
          <w:rFonts w:cs="Calibri"/>
          <w:color w:val="333333"/>
          <w:sz w:val="22"/>
          <w:szCs w:val="22"/>
        </w:rPr>
        <w:instrText xml:space="preserve"> ADDIN ZOTERO_ITEM CSL_CITATION {"citationID":"HChl1LkX","properties":{"formattedCitation":"(6)","plainCitation":"(6)","noteIndex":0},"citationItems":[{"id":2364,"uris":["http://zotero.org/users/270347/items/RMXPK7UM"],"uri":["http://zotero.org/users/270347/items/RMXPK7UM"],"itemData":{"id":2364,"type":"article-journal","abstract":"Purpose: Response to standard oncologic treatment is limited in colorectal cancer. The gene expression–based consensus molecular subtypes (CMS) provide a new paradigm for stratified treatment and drug repurposing; however, drug discovery is currently limited by the lack of translation of CMS to preclinical models.\nExperimental Design: We analyzed CMS in primary colorectal cancers, cell lines, and patient-derived xenografts (PDX). For classification of preclinical models, we developed an optimized classifier enriched for cancer cell–intrinsic gene expression signals, and performed high-throughput in vitro drug screening (n = 459 drugs) to analyze subtype-specific drug sensitivities.\nResults: The distinct molecular and clinicopathologic characteristics of each CMS group were validated in a single-hospital series of 409 primary colorectal cancers. The new, cancer cell–adapted classifier was found to perform well in primary tumors, and applied to a panel of 148 cell lines and 32 PDXs, these colorectal cancer models were shown to recapitulate the biology of the CMS groups. Drug screening of 33 cell lines demonstrated subtype-dependent response profiles, confirming strong response to EGFR and HER2 inhibitors in the CMS2 epithelial/canonical group, and revealing strong sensitivity to HSP90 inhibitors in cells with the CMS1 microsatellite instability/immune and CMS4 mesenchymal phenotypes. This association was validated in vitro in additional CMS-predicted cell lines. Combination treatment with 5-fluorouracil and luminespib showed potential to alleviate chemoresistance in a CMS4 PDX model, an effect not seen in a chemosensitive CMS2 PDX model.\nConclusions: We provide translation of CMS classification to preclinical models and uncover a potential for targeted treatment repurposing in the chemoresistant CMS4 group. Clin Cancer Res; 24(4); 794–806. ©2017 AACR.","container-title":"Clinical Cancer Research","DOI":"10.1158/1078-0432.CCR-17-1234","ISSN":"1078-0432, 1557-3265","issue":"4","journalAbbreviation":"Clin Cancer Res","language":"en","note":"publisher: American Association for Cancer Research\nsection: Personalized Medicine and Imaging\nPMID: 29242316","page":"794-806","source":"clincancerres.aacrjournals.org","title":"Colorectal Cancer Consensus Molecular Subtypes Translated to Preclinical Models Uncover Potentially Targetable Cancer Cell Dependencies","volume":"24","author":[{"family":"Sveen","given":"Anita"},{"family":"Bruun","given":"Jarle"},{"family":"Eide","given":"Peter W."},{"family":"Eilertsen","given":"Ina A."},{"family":"Ramirez","given":"Lorena"},{"family":"Murumägi","given":"Astrid"},{"family":"Arjama","given":"Mariliina"},{"family":"Danielsen","given":"Stine A."},{"family":"Kryeziu","given":"Kushtrim"},{"family":"Elez","given":"Elena"},{"family":"Tabernero","given":"Josep"},{"family":"Guinney","given":"Justin"},{"family":"Palmer","given":"Hector G."},{"family":"Nesbakken","given":"Arild"},{"family":"Kallioniemi","given":"Olli"},{"family":"Dienstmann","given":"Rodrigo"},{"family":"Lothe","given":"Ragnhild A."}],"issued":{"date-parts":[["2018",2,15]]}}}],"schema":"https://github.com/citation-style-language/schema/raw/master/csl-citation.json"} </w:instrText>
      </w:r>
      <w:r w:rsidR="00791091">
        <w:rPr>
          <w:rFonts w:cs="Calibri"/>
          <w:color w:val="333333"/>
          <w:sz w:val="22"/>
          <w:szCs w:val="22"/>
        </w:rPr>
        <w:fldChar w:fldCharType="separate"/>
      </w:r>
      <w:r w:rsidR="00F3231B">
        <w:rPr>
          <w:rFonts w:cs="Calibri"/>
          <w:noProof/>
          <w:color w:val="333333"/>
          <w:sz w:val="22"/>
          <w:szCs w:val="22"/>
        </w:rPr>
        <w:t>(6)</w:t>
      </w:r>
      <w:r w:rsidR="00791091">
        <w:rPr>
          <w:rFonts w:cs="Calibri"/>
          <w:color w:val="333333"/>
          <w:sz w:val="22"/>
          <w:szCs w:val="22"/>
        </w:rPr>
        <w:fldChar w:fldCharType="end"/>
      </w:r>
      <w:r w:rsidR="00791091" w:rsidRPr="00955D84">
        <w:rPr>
          <w:rFonts w:cs="Calibri"/>
          <w:color w:val="333333"/>
          <w:sz w:val="22"/>
          <w:szCs w:val="22"/>
        </w:rPr>
        <w:t xml:space="preserve">. </w:t>
      </w:r>
      <w:r w:rsidR="00791091">
        <w:rPr>
          <w:rFonts w:cs="Calibri"/>
          <w:color w:val="333333"/>
          <w:sz w:val="22"/>
          <w:szCs w:val="22"/>
        </w:rPr>
        <w:t xml:space="preserve">CRC cell line </w:t>
      </w:r>
      <w:r w:rsidR="00791091" w:rsidRPr="00955D84">
        <w:rPr>
          <w:rFonts w:cs="Calibri"/>
          <w:color w:val="333333"/>
          <w:sz w:val="22"/>
          <w:szCs w:val="22"/>
        </w:rPr>
        <w:t xml:space="preserve">CMS type differentially regulated gene expression in fibroblasts (Fig 2B). </w:t>
      </w:r>
      <w:r w:rsidR="00791091">
        <w:rPr>
          <w:rFonts w:cs="Calibri"/>
          <w:color w:val="333333"/>
          <w:sz w:val="22"/>
          <w:szCs w:val="22"/>
        </w:rPr>
        <w:t>The</w:t>
      </w:r>
      <w:r w:rsidR="00791091" w:rsidRPr="00955D84">
        <w:rPr>
          <w:rFonts w:cs="Calibri"/>
          <w:color w:val="333333"/>
          <w:sz w:val="22"/>
          <w:szCs w:val="22"/>
        </w:rPr>
        <w:t xml:space="preserve"> CMS4 line SW620 induced Transforming Growth Factor-β (TGFβ) signalling and collagen deposition and remodelling programs </w:t>
      </w:r>
      <w:r w:rsidR="00791091">
        <w:rPr>
          <w:rFonts w:cs="Calibri"/>
          <w:color w:val="333333"/>
          <w:sz w:val="22"/>
          <w:szCs w:val="22"/>
        </w:rPr>
        <w:t xml:space="preserve">when compared to non-CMS4 lines </w:t>
      </w:r>
      <w:r w:rsidR="00791091" w:rsidRPr="00955D84">
        <w:rPr>
          <w:rFonts w:cs="Calibri"/>
          <w:color w:val="333333"/>
          <w:sz w:val="22"/>
          <w:szCs w:val="22"/>
        </w:rPr>
        <w:t>(Fig 2C). T84 cell</w:t>
      </w:r>
      <w:r w:rsidR="00791091">
        <w:rPr>
          <w:rFonts w:cs="Calibri"/>
          <w:color w:val="333333"/>
          <w:sz w:val="22"/>
          <w:szCs w:val="22"/>
        </w:rPr>
        <w:t>s</w:t>
      </w:r>
      <w:r w:rsidR="00791091" w:rsidRPr="00955D84">
        <w:rPr>
          <w:rFonts w:cs="Calibri"/>
          <w:color w:val="333333"/>
          <w:sz w:val="22"/>
          <w:szCs w:val="22"/>
        </w:rPr>
        <w:t xml:space="preserve"> </w:t>
      </w:r>
      <w:r w:rsidR="00791091">
        <w:rPr>
          <w:rFonts w:cs="Calibri"/>
          <w:color w:val="333333"/>
          <w:sz w:val="22"/>
          <w:szCs w:val="22"/>
        </w:rPr>
        <w:t>are</w:t>
      </w:r>
      <w:r w:rsidR="00791091" w:rsidRPr="00955D84">
        <w:rPr>
          <w:rFonts w:cs="Calibri"/>
          <w:color w:val="333333"/>
          <w:sz w:val="22"/>
          <w:szCs w:val="22"/>
        </w:rPr>
        <w:t xml:space="preserve"> CMS2 </w:t>
      </w:r>
      <w:r w:rsidR="00791091">
        <w:rPr>
          <w:rFonts w:cs="Calibri"/>
          <w:color w:val="333333"/>
          <w:sz w:val="22"/>
          <w:szCs w:val="22"/>
        </w:rPr>
        <w:t xml:space="preserve">typed </w:t>
      </w:r>
      <w:r w:rsidR="00791091" w:rsidRPr="00955D84">
        <w:rPr>
          <w:rFonts w:cs="Calibri"/>
          <w:color w:val="333333"/>
          <w:sz w:val="22"/>
          <w:szCs w:val="22"/>
        </w:rPr>
        <w:t xml:space="preserve">and the Colo320 line </w:t>
      </w:r>
      <w:r w:rsidR="00791091">
        <w:rPr>
          <w:rFonts w:cs="Calibri"/>
          <w:color w:val="333333"/>
          <w:sz w:val="22"/>
          <w:szCs w:val="22"/>
        </w:rPr>
        <w:t>is of</w:t>
      </w:r>
      <w:r w:rsidR="00791091" w:rsidRPr="00955D84">
        <w:rPr>
          <w:rFonts w:cs="Calibri"/>
          <w:color w:val="333333"/>
          <w:sz w:val="22"/>
          <w:szCs w:val="22"/>
        </w:rPr>
        <w:t xml:space="preserve"> neuroendocrine </w:t>
      </w:r>
      <w:r w:rsidR="00791091">
        <w:rPr>
          <w:rFonts w:cs="Calibri"/>
          <w:color w:val="333333"/>
          <w:sz w:val="22"/>
          <w:szCs w:val="22"/>
        </w:rPr>
        <w:t>subtype</w:t>
      </w:r>
      <w:r w:rsidR="00791091">
        <w:rPr>
          <w:rFonts w:cs="Calibri"/>
          <w:color w:val="333333"/>
          <w:sz w:val="22"/>
          <w:szCs w:val="22"/>
        </w:rPr>
        <w:fldChar w:fldCharType="begin"/>
      </w:r>
      <w:r w:rsidR="00F3231B">
        <w:rPr>
          <w:rFonts w:cs="Calibri"/>
          <w:color w:val="333333"/>
          <w:sz w:val="22"/>
          <w:szCs w:val="22"/>
        </w:rPr>
        <w:instrText xml:space="preserve"> ADDIN ZOTERO_ITEM CSL_CITATION {"citationID":"nvHTjxo9","properties":{"formattedCitation":"(6)","plainCitation":"(6)","noteIndex":0},"citationItems":[{"id":2364,"uris":["http://zotero.org/users/270347/items/RMXPK7UM"],"uri":["http://zotero.org/users/270347/items/RMXPK7UM"],"itemData":{"id":2364,"type":"article-journal","abstract":"Purpose: Response to standard oncologic treatment is limited in colorectal cancer. The gene expression–based consensus molecular subtypes (CMS) provide a new paradigm for stratified treatment and drug repurposing; however, drug discovery is currently limited by the lack of translation of CMS to preclinical models.\nExperimental Design: We analyzed CMS in primary colorectal cancers, cell lines, and patient-derived xenografts (PDX). For classification of preclinical models, we developed an optimized classifier enriched for cancer cell–intrinsic gene expression signals, and performed high-throughput in vitro drug screening (n = 459 drugs) to analyze subtype-specific drug sensitivities.\nResults: The distinct molecular and clinicopathologic characteristics of each CMS group were validated in a single-hospital series of 409 primary colorectal cancers. The new, cancer cell–adapted classifier was found to perform well in primary tumors, and applied to a panel of 148 cell lines and 32 PDXs, these colorectal cancer models were shown to recapitulate the biology of the CMS groups. Drug screening of 33 cell lines demonstrated subtype-dependent response profiles, confirming strong response to EGFR and HER2 inhibitors in the CMS2 epithelial/canonical group, and revealing strong sensitivity to HSP90 inhibitors in cells with the CMS1 microsatellite instability/immune and CMS4 mesenchymal phenotypes. This association was validated in vitro in additional CMS-predicted cell lines. Combination treatment with 5-fluorouracil and luminespib showed potential to alleviate chemoresistance in a CMS4 PDX model, an effect not seen in a chemosensitive CMS2 PDX model.\nConclusions: We provide translation of CMS classification to preclinical models and uncover a potential for targeted treatment repurposing in the chemoresistant CMS4 group. Clin Cancer Res; 24(4); 794–806. ©2017 AACR.","container-title":"Clinical Cancer Research","DOI":"10.1158/1078-0432.CCR-17-1234","ISSN":"1078-0432, 1557-3265","issue":"4","journalAbbreviation":"Clin Cancer Res","language":"en","note":"publisher: American Association for Cancer Research\nsection: Personalized Medicine and Imaging\nPMID: 29242316","page":"794-806","source":"clincancerres.aacrjournals.org","title":"Colorectal Cancer Consensus Molecular Subtypes Translated to Preclinical Models Uncover Potentially Targetable Cancer Cell Dependencies","volume":"24","author":[{"family":"Sveen","given":"Anita"},{"family":"Bruun","given":"Jarle"},{"family":"Eide","given":"Peter W."},{"family":"Eilertsen","given":"Ina A."},{"family":"Ramirez","given":"Lorena"},{"family":"Murumägi","given":"Astrid"},{"family":"Arjama","given":"Mariliina"},{"family":"Danielsen","given":"Stine A."},{"family":"Kryeziu","given":"Kushtrim"},{"family":"Elez","given":"Elena"},{"family":"Tabernero","given":"Josep"},{"family":"Guinney","given":"Justin"},{"family":"Palmer","given":"Hector G."},{"family":"Nesbakken","given":"Arild"},{"family":"Kallioniemi","given":"Olli"},{"family":"Dienstmann","given":"Rodrigo"},{"family":"Lothe","given":"Ragnhild A."}],"issued":{"date-parts":[["2018",2,15]]}}}],"schema":"https://github.com/citation-style-language/schema/raw/master/csl-citation.json"} </w:instrText>
      </w:r>
      <w:r w:rsidR="00791091">
        <w:rPr>
          <w:rFonts w:cs="Calibri"/>
          <w:color w:val="333333"/>
          <w:sz w:val="22"/>
          <w:szCs w:val="22"/>
        </w:rPr>
        <w:fldChar w:fldCharType="separate"/>
      </w:r>
      <w:r w:rsidR="00F3231B">
        <w:rPr>
          <w:rFonts w:cs="Calibri"/>
          <w:noProof/>
          <w:color w:val="333333"/>
          <w:sz w:val="22"/>
          <w:szCs w:val="22"/>
        </w:rPr>
        <w:t>(6)</w:t>
      </w:r>
      <w:r w:rsidR="00791091">
        <w:rPr>
          <w:rFonts w:cs="Calibri"/>
          <w:color w:val="333333"/>
          <w:sz w:val="22"/>
          <w:szCs w:val="22"/>
        </w:rPr>
        <w:fldChar w:fldCharType="end"/>
      </w:r>
      <w:r w:rsidR="00791091">
        <w:rPr>
          <w:rFonts w:cs="Calibri"/>
          <w:color w:val="333333"/>
          <w:sz w:val="22"/>
          <w:szCs w:val="22"/>
        </w:rPr>
        <w:fldChar w:fldCharType="begin"/>
      </w:r>
      <w:r w:rsidR="00F3231B">
        <w:rPr>
          <w:rFonts w:cs="Calibri"/>
          <w:color w:val="333333"/>
          <w:sz w:val="22"/>
          <w:szCs w:val="22"/>
        </w:rPr>
        <w:instrText xml:space="preserve"> ADDIN ZOTERO_ITEM CSL_CITATION {"citationID":"CUhaFzRl","properties":{"formattedCitation":"(7)","plainCitation":"(7)","noteIndex":0},"citationItems":[{"id":728,"uris":["http://zotero.org/users/270347/items/XR7YARAP"],"uri":["http://zotero.org/users/270347/items/XR7YARAP"],"itemData":{"id":728,"type":"article-journal","abstract":"Colorectal cancer (CRC) is a highly heterogeneous disease both from a molecular and clinical perspective. Several distinct molecular entities, such as microsatellite instability (MSI), have been defined that make up biologically distinct subgroups with their own clinical course. Recent data indicated that CRC can be best segregated into four groups called consensus molecular subtypes (CMS1-4), each of which has a unique biology and gene expression pattern. In order to develop improved, subtype-specific therapies and to gain insight into the molecular wiring and origin of these subtypes, reliable models are needed. This study was designed to determine the heterogeneity and identify the presence of CMSs in a large panel of CRC cell lines, primary cultures and patient-derived xenografts (PDX). We provide a repository encompassing this heterogeneity and moreover describe that a large part of the models can be robustly assigned to one of the four CMSs, independent of the stromal contribution. We subsequently validate our CMS stratification by functional analysis which for instance shows mesenchymal enrichment in CMS4 and metabolic dysregulation in CMS3. Finally, we observe a clear difference in sensitivity to chemotherapy-induced apoptosis, specifically between CMS2 and CMS4. This relates to the in vivo efficacy of chemotherapy, which delays outgrowth of CMS2, but not CMS4 xenografts. Combined our data indicate that molecular subtypes are faithfully modelled in CRC cell cultures and PDXs, representing tumour cell intrinsic and stable features. This repository provides researchers with a platform to study CRC using the existing heterogeneity.","container-title":"Cell Death and Differentiation","DOI":"10.1038/s41418-017-0011-5","ISSN":"1476-5403","issue":"3","journalAbbreviation":"Cell Death Differ.","language":"eng","note":"PMID: 29305587\nPMCID: PMC5864202","page":"616-633","source":"PubMed","title":"Consensus molecular subtypes of colorectal cancer are recapitulated in in vitro and in vivo models","volume":"25","author":[{"family":"Linnekamp","given":"Janneke F."},{"family":"Hooff","given":"Sander R.","dropping-particle":"van"},{"family":"Prasetyanti","given":"Pramudita R."},{"family":"Kandimalla","given":"Raju"},{"family":"Buikhuisen","given":"Joyce Y."},{"family":"Fessler","given":"Evelyn"},{"family":"Ramesh","given":"Prashanthi"},{"family":"Lee","given":"Kelly A. S. T."},{"family":"Bochove","given":"Grehor G. W."},{"family":"Jong","given":"Johan H.","non-dropping-particle":"de"},{"family":"Cameron","given":"Kate"},{"family":"Leersum","given":"Ronald","dropping-particle":"van"},{"family":"Rodermond","given":"Hans M."},{"family":"Franitza","given":"Marek"},{"family":"Nürnberg","given":"Peter"},{"family":"Mangiapane","given":"Laura R."},{"family":"Wang","given":"Xin"},{"family":"Clevers","given":"Hans"},{"family":"Vermeulen","given":"Louis"},{"family":"Stassi","given":"Giorgio"},{"family":"Medema","given":"Jan Paul"}],"issued":{"date-parts":[["2018"]]}}}],"schema":"https://github.com/citation-style-language/schema/raw/master/csl-citation.json"} </w:instrText>
      </w:r>
      <w:r w:rsidR="00791091">
        <w:rPr>
          <w:rFonts w:cs="Calibri"/>
          <w:color w:val="333333"/>
          <w:sz w:val="22"/>
          <w:szCs w:val="22"/>
        </w:rPr>
        <w:fldChar w:fldCharType="separate"/>
      </w:r>
      <w:r w:rsidR="00F3231B">
        <w:rPr>
          <w:rFonts w:cs="Calibri"/>
          <w:noProof/>
          <w:color w:val="333333"/>
          <w:sz w:val="22"/>
          <w:szCs w:val="22"/>
        </w:rPr>
        <w:t>(7)</w:t>
      </w:r>
      <w:r w:rsidR="00791091">
        <w:rPr>
          <w:rFonts w:cs="Calibri"/>
          <w:color w:val="333333"/>
          <w:sz w:val="22"/>
          <w:szCs w:val="22"/>
        </w:rPr>
        <w:fldChar w:fldCharType="end"/>
      </w:r>
      <w:r w:rsidR="00791091" w:rsidRPr="00955D84">
        <w:rPr>
          <w:rFonts w:cs="Calibri"/>
          <w:color w:val="333333"/>
          <w:sz w:val="22"/>
          <w:szCs w:val="22"/>
        </w:rPr>
        <w:t xml:space="preserve">. </w:t>
      </w:r>
      <w:r w:rsidR="00791091">
        <w:rPr>
          <w:rFonts w:cs="Calibri"/>
          <w:color w:val="333333"/>
          <w:sz w:val="22"/>
          <w:szCs w:val="22"/>
        </w:rPr>
        <w:t xml:space="preserve"> TGF</w:t>
      </w:r>
      <w:r w:rsidR="00791091" w:rsidRPr="00955D84">
        <w:rPr>
          <w:rFonts w:cs="Calibri"/>
          <w:color w:val="333333"/>
          <w:sz w:val="22"/>
          <w:szCs w:val="22"/>
        </w:rPr>
        <w:t>β</w:t>
      </w:r>
      <w:r w:rsidR="00791091">
        <w:rPr>
          <w:rFonts w:cs="Calibri"/>
          <w:color w:val="333333"/>
          <w:sz w:val="22"/>
          <w:szCs w:val="22"/>
        </w:rPr>
        <w:t xml:space="preserve"> caused fibroblast activation (Fig 2D) and promoted ECM </w:t>
      </w:r>
      <w:r w:rsidR="00791091">
        <w:rPr>
          <w:rFonts w:cs="Calibri"/>
          <w:color w:val="333333"/>
          <w:sz w:val="22"/>
          <w:szCs w:val="22"/>
        </w:rPr>
        <w:lastRenderedPageBreak/>
        <w:t xml:space="preserve">production (Fig 2E-F). These preliminary findings demonstrate that fibroblasts turn on transcriptional programs responsible for ECM production in response to co-culture with CMS4 cell lines and that fibroblast-derived ECMs can be visualised in culture. These techniques will be used to further investigate the </w:t>
      </w:r>
      <w:r w:rsidR="0085248C">
        <w:rPr>
          <w:rFonts w:cs="Calibri"/>
          <w:noProof/>
          <w:color w:val="333333"/>
          <w:sz w:val="22"/>
          <w:szCs w:val="22"/>
        </w:rPr>
        <mc:AlternateContent>
          <mc:Choice Requires="wps">
            <w:drawing>
              <wp:anchor distT="0" distB="0" distL="114300" distR="114300" simplePos="0" relativeHeight="251662336" behindDoc="0" locked="0" layoutInCell="1" allowOverlap="1" wp14:anchorId="48CB55FF" wp14:editId="3BAF0495">
                <wp:simplePos x="0" y="0"/>
                <wp:positionH relativeFrom="column">
                  <wp:posOffset>-450543</wp:posOffset>
                </wp:positionH>
                <wp:positionV relativeFrom="paragraph">
                  <wp:posOffset>332740</wp:posOffset>
                </wp:positionV>
                <wp:extent cx="352425" cy="316230"/>
                <wp:effectExtent l="0" t="0" r="15875" b="13970"/>
                <wp:wrapNone/>
                <wp:docPr id="4" name="Rounded Rectangle 4"/>
                <wp:cNvGraphicFramePr/>
                <a:graphic xmlns:a="http://schemas.openxmlformats.org/drawingml/2006/main">
                  <a:graphicData uri="http://schemas.microsoft.com/office/word/2010/wordprocessingShape">
                    <wps:wsp>
                      <wps:cNvSpPr/>
                      <wps:spPr>
                        <a:xfrm>
                          <a:off x="0" y="0"/>
                          <a:ext cx="352425" cy="31623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54B83B" id="Rounded Rectangle 4" o:spid="_x0000_s1026" style="position:absolute;margin-left:-35.5pt;margin-top:26.2pt;width:27.75pt;height:24.9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" fillcolor="white [3212]" strokecolor="white [3212]" strokeweight="1pt">
                <v:stroke joinstyle="miter"/>
              </v:roundrect>
            </w:pict>
          </mc:Fallback>
        </mc:AlternateContent>
      </w:r>
      <w:r w:rsidR="00791091">
        <w:rPr>
          <w:rFonts w:cs="Calibri"/>
          <w:color w:val="333333"/>
          <w:sz w:val="22"/>
          <w:szCs w:val="22"/>
        </w:rPr>
        <w:t xml:space="preserve">relationship between epithelial mutation, ECM structure and immune </w:t>
      </w:r>
      <w:r w:rsidR="004B1C71">
        <w:rPr>
          <w:rFonts w:cs="Calibri"/>
          <w:color w:val="333333"/>
          <w:sz w:val="22"/>
          <w:szCs w:val="22"/>
        </w:rPr>
        <w:t>motility/</w:t>
      </w:r>
      <w:r w:rsidR="00791091">
        <w:rPr>
          <w:rFonts w:cs="Calibri"/>
          <w:color w:val="333333"/>
          <w:sz w:val="22"/>
          <w:szCs w:val="22"/>
        </w:rPr>
        <w:t>activit</w:t>
      </w:r>
      <w:r w:rsidR="004B1C71">
        <w:rPr>
          <w:rFonts w:cs="Calibri"/>
          <w:color w:val="333333"/>
          <w:sz w:val="22"/>
          <w:szCs w:val="22"/>
        </w:rPr>
        <w:t xml:space="preserve">y. </w:t>
      </w:r>
    </w:p>
    <w:p w14:paraId="3D2B15D2" w14:textId="77777777" w:rsidR="00791091" w:rsidRDefault="00E656DD" w:rsidP="005B3925">
      <w:pPr>
        <w:contextualSpacing/>
        <w:rPr>
          <w:rFonts w:cs="Calibri"/>
          <w:color w:val="333333"/>
          <w:sz w:val="22"/>
          <w:szCs w:val="22"/>
        </w:rPr>
      </w:pPr>
      <w:r>
        <w:rPr>
          <w:rFonts w:cs="Calibri"/>
          <w:noProof/>
          <w:color w:val="333333"/>
          <w:sz w:val="22"/>
          <w:szCs w:val="22"/>
        </w:rPr>
        <w:drawing>
          <wp:anchor distT="0" distB="0" distL="114300" distR="114300" simplePos="0" relativeHeight="251661312" behindDoc="0" locked="0" layoutInCell="1" allowOverlap="1" wp14:anchorId="444FA604" wp14:editId="3EA0B1C8">
            <wp:simplePos x="0" y="0"/>
            <wp:positionH relativeFrom="margin">
              <wp:posOffset>-193040</wp:posOffset>
            </wp:positionH>
            <wp:positionV relativeFrom="margin">
              <wp:posOffset>427355</wp:posOffset>
            </wp:positionV>
            <wp:extent cx="3293806" cy="1986873"/>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1-10-30 at 11.28.00.png"/>
                    <pic:cNvPicPr/>
                  </pic:nvPicPr>
                  <pic:blipFill>
                    <a:blip r:embed="rId6">
                      <a:extLst>
                        <a:ext uri="{28A0092B-C50C-407E-A947-70E740481C1C}">
                          <a14:useLocalDpi xmlns:a14="http://schemas.microsoft.com/office/drawing/2010/main" val="0"/>
                        </a:ext>
                      </a:extLst>
                    </a:blip>
                    <a:stretch>
                      <a:fillRect/>
                    </a:stretch>
                  </pic:blipFill>
                  <pic:spPr>
                    <a:xfrm>
                      <a:off x="0" y="0"/>
                      <a:ext cx="3293806" cy="1986873"/>
                    </a:xfrm>
                    <a:prstGeom prst="rect">
                      <a:avLst/>
                    </a:prstGeom>
                  </pic:spPr>
                </pic:pic>
              </a:graphicData>
            </a:graphic>
          </wp:anchor>
        </w:drawing>
      </w:r>
    </w:p>
    <w:p w14:paraId="38F0E651" w14:textId="77777777" w:rsidR="00D15888" w:rsidRDefault="00E656DD" w:rsidP="005B3925">
      <w:pPr>
        <w:contextualSpacing/>
        <w:rPr>
          <w:rFonts w:cs="Calibri"/>
          <w:color w:val="333333"/>
          <w:sz w:val="22"/>
          <w:szCs w:val="22"/>
        </w:rPr>
      </w:pPr>
      <w:r>
        <w:rPr>
          <w:rFonts w:cs="Calibri"/>
          <w:noProof/>
          <w:color w:val="333333"/>
          <w:sz w:val="22"/>
          <w:szCs w:val="22"/>
        </w:rPr>
        <w:drawing>
          <wp:anchor distT="0" distB="0" distL="114300" distR="114300" simplePos="0" relativeHeight="251660288" behindDoc="0" locked="0" layoutInCell="1" allowOverlap="1" wp14:anchorId="35D126B0" wp14:editId="33C61065">
            <wp:simplePos x="0" y="0"/>
            <wp:positionH relativeFrom="margin">
              <wp:posOffset>3101340</wp:posOffset>
            </wp:positionH>
            <wp:positionV relativeFrom="margin">
              <wp:posOffset>612775</wp:posOffset>
            </wp:positionV>
            <wp:extent cx="2721546" cy="15043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1-10-30 at 11.28.14.png"/>
                    <pic:cNvPicPr/>
                  </pic:nvPicPr>
                  <pic:blipFill rotWithShape="1">
                    <a:blip r:embed="rId7">
                      <a:extLst>
                        <a:ext uri="{28A0092B-C50C-407E-A947-70E740481C1C}">
                          <a14:useLocalDpi xmlns:a14="http://schemas.microsoft.com/office/drawing/2010/main" val="0"/>
                        </a:ext>
                      </a:extLst>
                    </a:blip>
                    <a:srcRect b="50513"/>
                    <a:stretch/>
                  </pic:blipFill>
                  <pic:spPr bwMode="auto">
                    <a:xfrm>
                      <a:off x="0" y="0"/>
                      <a:ext cx="2721546" cy="1504335"/>
                    </a:xfrm>
                    <a:prstGeom prst="rect">
                      <a:avLst/>
                    </a:prstGeom>
                    <a:ln>
                      <a:noFill/>
                    </a:ln>
                    <a:extLst>
                      <a:ext uri="{53640926-AAD7-44D8-BBD7-CCE9431645EC}">
                        <a14:shadowObscured xmlns:a14="http://schemas.microsoft.com/office/drawing/2010/main"/>
                      </a:ext>
                    </a:extLst>
                  </pic:spPr>
                </pic:pic>
              </a:graphicData>
            </a:graphic>
          </wp:anchor>
        </w:drawing>
      </w:r>
      <w:r w:rsidR="0090017B">
        <w:rPr>
          <w:rFonts w:cs="Calibri"/>
          <w:color w:val="333333"/>
          <w:sz w:val="22"/>
          <w:szCs w:val="22"/>
        </w:rPr>
        <w:t xml:space="preserve"> </w:t>
      </w:r>
    </w:p>
    <w:p w14:paraId="0CC080C7" w14:textId="77777777" w:rsidR="002126DC" w:rsidRDefault="00E656DD" w:rsidP="005B3925">
      <w:pPr>
        <w:contextualSpacing/>
        <w:rPr>
          <w:rFonts w:cs="Calibri"/>
          <w:color w:val="333333"/>
          <w:sz w:val="22"/>
          <w:szCs w:val="22"/>
        </w:rPr>
      </w:pPr>
      <w:r>
        <w:rPr>
          <w:rFonts w:cs="Calibri"/>
          <w:noProof/>
          <w:color w:val="333333"/>
          <w:sz w:val="22"/>
          <w:szCs w:val="22"/>
        </w:rPr>
        <mc:AlternateContent>
          <mc:Choice Requires="wps">
            <w:drawing>
              <wp:anchor distT="0" distB="0" distL="114300" distR="114300" simplePos="0" relativeHeight="251663360" behindDoc="0" locked="0" layoutInCell="1" allowOverlap="1" wp14:anchorId="506FC017" wp14:editId="6A29248B">
                <wp:simplePos x="0" y="0"/>
                <wp:positionH relativeFrom="column">
                  <wp:posOffset>-98323</wp:posOffset>
                </wp:positionH>
                <wp:positionV relativeFrom="paragraph">
                  <wp:posOffset>120998</wp:posOffset>
                </wp:positionV>
                <wp:extent cx="5850890" cy="1238865"/>
                <wp:effectExtent l="0" t="0" r="16510" b="19050"/>
                <wp:wrapNone/>
                <wp:docPr id="5" name="Text Box 5"/>
                <wp:cNvGraphicFramePr/>
                <a:graphic xmlns:a="http://schemas.openxmlformats.org/drawingml/2006/main">
                  <a:graphicData uri="http://schemas.microsoft.com/office/word/2010/wordprocessingShape">
                    <wps:wsp>
                      <wps:cNvSpPr txBox="1"/>
                      <wps:spPr>
                        <a:xfrm>
                          <a:off x="0" y="0"/>
                          <a:ext cx="5850890" cy="1238865"/>
                        </a:xfrm>
                        <a:prstGeom prst="rect">
                          <a:avLst/>
                        </a:prstGeom>
                        <a:solidFill>
                          <a:schemeClr val="lt1"/>
                        </a:solidFill>
                        <a:ln w="6350">
                          <a:solidFill>
                            <a:prstClr val="black"/>
                          </a:solidFill>
                        </a:ln>
                      </wps:spPr>
                      <wps:txbx>
                        <w:txbxContent>
                          <w:p w14:paraId="476BE1CE" w14:textId="77777777" w:rsidR="00230090" w:rsidRDefault="00230090">
                            <w:r w:rsidRPr="00230090">
                              <w:rPr>
                                <w:b/>
                              </w:rPr>
                              <w:t>Figure 2</w:t>
                            </w:r>
                            <w:r>
                              <w:t xml:space="preserve">. </w:t>
                            </w:r>
                            <w:r w:rsidRPr="00230090">
                              <w:rPr>
                                <w:b/>
                              </w:rPr>
                              <w:t>Optimisation of a method to enrich for ECM proteins prior to proteomic assessment</w:t>
                            </w:r>
                            <w:r>
                              <w:t>. Whole murine livers with or without hepatic metastases were de-</w:t>
                            </w:r>
                            <w:proofErr w:type="spellStart"/>
                            <w:r>
                              <w:t>cellularised</w:t>
                            </w:r>
                            <w:proofErr w:type="spellEnd"/>
                            <w:r>
                              <w:t xml:space="preserve"> in the indicated solutions over a 72-hour period (left). </w:t>
                            </w:r>
                            <w:r w:rsidR="00ED1135">
                              <w:t>Livers were most efficiently de-</w:t>
                            </w:r>
                            <w:proofErr w:type="spellStart"/>
                            <w:r w:rsidR="00ED1135">
                              <w:t>cellularised</w:t>
                            </w:r>
                            <w:proofErr w:type="spellEnd"/>
                            <w:r w:rsidR="00ED1135">
                              <w:t xml:space="preserve"> with a combination of 2% Triton X and 0.1% NH</w:t>
                            </w:r>
                            <w:r w:rsidR="00ED1135" w:rsidRPr="00ED1135">
                              <w:rPr>
                                <w:vertAlign w:val="subscript"/>
                              </w:rPr>
                              <w:t>2</w:t>
                            </w:r>
                            <w:r w:rsidR="00ED1135">
                              <w:t xml:space="preserve">OH. This enabled complete removal of cellular constituents as indicated by H&amp;E staining but maintenance of ECM structure (right).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7.75pt;margin-top:9.55pt;width:460.7pt;height:97.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" fillcolor="white [3201]" strokeweight=".5pt">
                <v:textbox>
                  <w:txbxContent>
                    <w:p w:rsidR="00230090" w:rsidRDefault="00230090">
                      <w:r w:rsidRPr="00230090">
                        <w:rPr>
                          <w:b/>
                        </w:rPr>
                        <w:t>Figure 2</w:t>
                      </w:r>
                      <w:r>
                        <w:t xml:space="preserve">. </w:t>
                      </w:r>
                      <w:r w:rsidRPr="00230090">
                        <w:rPr>
                          <w:b/>
                        </w:rPr>
                        <w:t>Optimisation of a method to enrich for ECM proteins prior to proteomic assessment</w:t>
                      </w:r>
                      <w:r>
                        <w:t>. Whole murine livers with or without hepatic metastases were de-</w:t>
                      </w:r>
                      <w:proofErr w:type="spellStart"/>
                      <w:r>
                        <w:t>cellularised</w:t>
                      </w:r>
                      <w:proofErr w:type="spellEnd"/>
                      <w:r>
                        <w:t xml:space="preserve"> in the indicated solutions over a 72-hour period (left). </w:t>
                      </w:r>
                      <w:r w:rsidR="00ED1135">
                        <w:t>Livers were most efficiently de-</w:t>
                      </w:r>
                      <w:proofErr w:type="spellStart"/>
                      <w:r w:rsidR="00ED1135">
                        <w:t>cellularised</w:t>
                      </w:r>
                      <w:proofErr w:type="spellEnd"/>
                      <w:r w:rsidR="00ED1135">
                        <w:t xml:space="preserve"> with a combination of 2% Triton X and 0.1% NH</w:t>
                      </w:r>
                      <w:r w:rsidR="00ED1135" w:rsidRPr="00ED1135">
                        <w:rPr>
                          <w:vertAlign w:val="subscript"/>
                        </w:rPr>
                        <w:t>2</w:t>
                      </w:r>
                      <w:r w:rsidR="00ED1135">
                        <w:t xml:space="preserve">OH. This enabled complete removal of cellular constituents as indicated by H&amp;E staining but maintenance of ECM structure (right). </w:t>
                      </w:r>
                    </w:p>
                  </w:txbxContent>
                </v:textbox>
              </v:shape>
            </w:pict>
          </mc:Fallback>
        </mc:AlternateContent>
      </w:r>
    </w:p>
    <w:p w14:paraId="5019137B" w14:textId="77777777" w:rsidR="002126DC" w:rsidRDefault="002126DC" w:rsidP="005B3925">
      <w:pPr>
        <w:contextualSpacing/>
        <w:rPr>
          <w:rFonts w:cs="Calibri"/>
          <w:color w:val="333333"/>
          <w:sz w:val="22"/>
          <w:szCs w:val="22"/>
        </w:rPr>
      </w:pPr>
    </w:p>
    <w:p w14:paraId="6D0D3092" w14:textId="77777777" w:rsidR="002126DC" w:rsidRDefault="002126DC" w:rsidP="005B3925">
      <w:pPr>
        <w:contextualSpacing/>
        <w:rPr>
          <w:rFonts w:cs="Calibri"/>
          <w:color w:val="333333"/>
          <w:sz w:val="22"/>
          <w:szCs w:val="22"/>
        </w:rPr>
      </w:pPr>
    </w:p>
    <w:p w14:paraId="2E0D378B" w14:textId="77777777" w:rsidR="00230090" w:rsidRDefault="00230090" w:rsidP="005B3925">
      <w:pPr>
        <w:contextualSpacing/>
        <w:rPr>
          <w:rFonts w:cs="Calibri"/>
          <w:color w:val="333333"/>
          <w:sz w:val="22"/>
          <w:szCs w:val="22"/>
        </w:rPr>
      </w:pPr>
    </w:p>
    <w:p w14:paraId="4C18958E" w14:textId="77777777" w:rsidR="00230090" w:rsidRDefault="00230090" w:rsidP="005B3925">
      <w:pPr>
        <w:contextualSpacing/>
        <w:rPr>
          <w:rFonts w:cs="Calibri"/>
          <w:color w:val="333333"/>
          <w:sz w:val="22"/>
          <w:szCs w:val="22"/>
        </w:rPr>
      </w:pPr>
    </w:p>
    <w:p w14:paraId="662E3C0E" w14:textId="77777777" w:rsidR="00230090" w:rsidRDefault="00230090" w:rsidP="005B3925">
      <w:pPr>
        <w:contextualSpacing/>
        <w:rPr>
          <w:rFonts w:cs="Calibri"/>
          <w:color w:val="333333"/>
          <w:sz w:val="22"/>
          <w:szCs w:val="22"/>
        </w:rPr>
      </w:pPr>
    </w:p>
    <w:p w14:paraId="16C2CC44" w14:textId="77777777" w:rsidR="00230090" w:rsidRDefault="00230090" w:rsidP="005B3925">
      <w:pPr>
        <w:contextualSpacing/>
        <w:rPr>
          <w:rFonts w:cs="Calibri"/>
          <w:color w:val="333333"/>
          <w:sz w:val="22"/>
          <w:szCs w:val="22"/>
        </w:rPr>
      </w:pPr>
    </w:p>
    <w:p w14:paraId="4A2304C0" w14:textId="77777777" w:rsidR="00230090" w:rsidRDefault="00230090" w:rsidP="005B3925">
      <w:pPr>
        <w:contextualSpacing/>
        <w:rPr>
          <w:rFonts w:cs="Calibri"/>
          <w:color w:val="333333"/>
          <w:sz w:val="22"/>
          <w:szCs w:val="22"/>
        </w:rPr>
      </w:pPr>
    </w:p>
    <w:p w14:paraId="3C7A0E7F" w14:textId="77777777" w:rsidR="00927687" w:rsidRDefault="00927687" w:rsidP="005B3925">
      <w:pPr>
        <w:contextualSpacing/>
        <w:rPr>
          <w:rFonts w:cs="Calibri"/>
          <w:color w:val="333333"/>
          <w:sz w:val="22"/>
          <w:szCs w:val="22"/>
        </w:rPr>
      </w:pPr>
    </w:p>
    <w:p w14:paraId="318AE253" w14:textId="77777777" w:rsidR="002126DC" w:rsidRDefault="00F3231B" w:rsidP="005B3925">
      <w:pPr>
        <w:contextualSpacing/>
        <w:rPr>
          <w:rFonts w:cs="Calibri"/>
          <w:color w:val="333333"/>
          <w:sz w:val="22"/>
          <w:szCs w:val="22"/>
        </w:rPr>
      </w:pPr>
      <w:r>
        <w:rPr>
          <w:rFonts w:cs="Calibri"/>
          <w:color w:val="333333"/>
          <w:sz w:val="22"/>
          <w:szCs w:val="22"/>
        </w:rPr>
        <w:t xml:space="preserve">In a separate set of </w:t>
      </w:r>
      <w:r w:rsidR="00927687">
        <w:rPr>
          <w:rFonts w:cs="Calibri"/>
          <w:color w:val="333333"/>
          <w:sz w:val="22"/>
          <w:szCs w:val="22"/>
        </w:rPr>
        <w:t xml:space="preserve">previously published </w:t>
      </w:r>
      <w:r>
        <w:rPr>
          <w:rFonts w:cs="Calibri"/>
          <w:color w:val="333333"/>
          <w:sz w:val="22"/>
          <w:szCs w:val="22"/>
        </w:rPr>
        <w:t>experiments</w:t>
      </w:r>
      <w:r>
        <w:rPr>
          <w:rFonts w:cs="Calibri"/>
          <w:color w:val="333333"/>
          <w:sz w:val="22"/>
          <w:szCs w:val="22"/>
        </w:rPr>
        <w:fldChar w:fldCharType="begin"/>
      </w:r>
      <w:r>
        <w:rPr>
          <w:rFonts w:cs="Calibri"/>
          <w:color w:val="333333"/>
          <w:sz w:val="22"/>
          <w:szCs w:val="22"/>
        </w:rPr>
        <w:instrText xml:space="preserve"> ADDIN ZOTERO_ITEM CSL_CITATION {"citationID":"qcSOAy2q","properties":{"formattedCitation":"(8)","plainCitation":"(8)","noteIndex":0},"citationItems":[{"id":664,"uris":["http://zotero.org/users/270347/items/LNUYIPIJ"],"uri":["http://zotero.org/users/270347/items/LNUYIPIJ"],"itemData":{"id":664,"type":"article-journal","abstract":"Citrullination of proteins, a post-translational conversion of arginine residues to citrulline, is recognized in rheumatoid arthritis, but largely undocumented in cancer. Here we show that citrullination of the extracellular matrix by cancer cell derived peptidylarginine deiminase 4 (PAD4) is essential for the growth of liver metastases from colorectal cancer (CRC). Using proteomics, we demonstrate that liver metastases exhibit higher levels of citrullination and PAD4 than unaffected liver, primary CRC or adjacent colonic mucosa. Functional significance for citrullination in metastatic growth is evident in murine models where inhibition of citrullination substantially reduces liver metastatic burden. Additionally, citrullination of a key matrix component collagen type I promotes greater adhesion and decreased migration of CRC cells along with increased expression of characteristic epithelial markers, suggesting a role for citrullination in promoting mesenchymal-to-epithelial transition and liver metastasis. Overall, our study reveals the potential for PAD4-dependant citrullination to drive the progression of CRC liver metastasis.","container-title":"Nature Communications","DOI":"10.1038/s41467-018-07306-7","ISSN":"2041-1723","issue":"1","journalAbbreviation":"Nat Commun","language":"eng","note":"PMID: 30429478\nPMCID: PMC6235861","page":"4783","source":"PubMed","title":"Colorectal cancer liver metastatic growth depends on PAD4-driven citrullination of the extracellular matrix","volume":"9","author":[{"family":"Yuzhalin","given":"A. E."},{"family":"Gordon-Weeks","given":"A. N."},{"family":"Tognoli","given":"M. L."},{"family":"Jones","given":"K."},{"family":"Markelc","given":"B."},{"family":"Konietzny","given":"R."},{"family":"Fischer","given":"R."},{"family":"Muth","given":"A."},{"family":"O'Neill","given":"E."},{"family":"Thompson","given":"P. R."},{"family":"Venables","given":"P. J."},{"family":"Kessler","given":"B. M."},{"family":"Lim","given":"S. Y."},{"family":"Muschel","given":"R. J."}],"issued":{"date-parts":[["2018"]],"season":"14"}}}],"schema":"https://github.com/citation-style-language/schema/raw/master/csl-citation.json"} </w:instrText>
      </w:r>
      <w:r>
        <w:rPr>
          <w:rFonts w:cs="Calibri"/>
          <w:color w:val="333333"/>
          <w:sz w:val="22"/>
          <w:szCs w:val="22"/>
        </w:rPr>
        <w:fldChar w:fldCharType="separate"/>
      </w:r>
      <w:r>
        <w:rPr>
          <w:rFonts w:cs="Calibri"/>
          <w:noProof/>
          <w:color w:val="333333"/>
          <w:sz w:val="22"/>
          <w:szCs w:val="22"/>
        </w:rPr>
        <w:t>(8)</w:t>
      </w:r>
      <w:r>
        <w:rPr>
          <w:rFonts w:cs="Calibri"/>
          <w:color w:val="333333"/>
          <w:sz w:val="22"/>
          <w:szCs w:val="22"/>
        </w:rPr>
        <w:fldChar w:fldCharType="end"/>
      </w:r>
      <w:r>
        <w:rPr>
          <w:rFonts w:cs="Calibri"/>
          <w:color w:val="333333"/>
          <w:sz w:val="22"/>
          <w:szCs w:val="22"/>
        </w:rPr>
        <w:t xml:space="preserve">, we optimised a biochemical method for the de-cellularisation of murine liver and liver metastases from CRC (Fig 2). This technique preserve </w:t>
      </w:r>
      <w:r w:rsidR="00E202D7">
        <w:rPr>
          <w:rFonts w:cs="Calibri"/>
          <w:color w:val="333333"/>
          <w:sz w:val="22"/>
          <w:szCs w:val="22"/>
        </w:rPr>
        <w:t>E</w:t>
      </w:r>
      <w:r>
        <w:rPr>
          <w:rFonts w:cs="Calibri"/>
          <w:color w:val="333333"/>
          <w:sz w:val="22"/>
          <w:szCs w:val="22"/>
        </w:rPr>
        <w:t xml:space="preserve">CM architecture and enabled enrichment </w:t>
      </w:r>
      <w:r w:rsidR="00814C30">
        <w:rPr>
          <w:rFonts w:cs="Calibri"/>
          <w:color w:val="333333"/>
          <w:sz w:val="22"/>
          <w:szCs w:val="22"/>
        </w:rPr>
        <w:t>of</w:t>
      </w:r>
      <w:r>
        <w:rPr>
          <w:rFonts w:cs="Calibri"/>
          <w:color w:val="333333"/>
          <w:sz w:val="22"/>
          <w:szCs w:val="22"/>
        </w:rPr>
        <w:t xml:space="preserve"> ECM over cellular proteins</w:t>
      </w:r>
      <w:r w:rsidR="00230090">
        <w:rPr>
          <w:rFonts w:cs="Calibri"/>
          <w:color w:val="333333"/>
          <w:sz w:val="22"/>
          <w:szCs w:val="22"/>
        </w:rPr>
        <w:t xml:space="preserve">; a process crucial </w:t>
      </w:r>
      <w:r w:rsidR="002A7043">
        <w:rPr>
          <w:rFonts w:cs="Calibri"/>
          <w:color w:val="333333"/>
          <w:sz w:val="22"/>
          <w:szCs w:val="22"/>
        </w:rPr>
        <w:t>for</w:t>
      </w:r>
      <w:r w:rsidR="00230090">
        <w:rPr>
          <w:rFonts w:cs="Calibri"/>
          <w:color w:val="333333"/>
          <w:sz w:val="22"/>
          <w:szCs w:val="22"/>
        </w:rPr>
        <w:t xml:space="preserve"> proteomic assessment of the ECM protein fraction. This technique will be used further in the proposed project. </w:t>
      </w:r>
    </w:p>
    <w:p w14:paraId="381948DE" w14:textId="77777777" w:rsidR="002126DC" w:rsidRDefault="002126DC" w:rsidP="005B3925">
      <w:pPr>
        <w:contextualSpacing/>
        <w:rPr>
          <w:rFonts w:cs="Calibri"/>
          <w:color w:val="333333"/>
          <w:sz w:val="22"/>
          <w:szCs w:val="22"/>
        </w:rPr>
      </w:pPr>
    </w:p>
    <w:p w14:paraId="3D0D47C3" w14:textId="77777777" w:rsidR="003B4A49" w:rsidRPr="00F3231B" w:rsidRDefault="003B4A49" w:rsidP="003B4A49">
      <w:pPr>
        <w:contextualSpacing/>
        <w:rPr>
          <w:rFonts w:cs="Calibri"/>
          <w:b/>
          <w:color w:val="FF0000"/>
        </w:rPr>
      </w:pPr>
      <w:r w:rsidRPr="00F3231B">
        <w:rPr>
          <w:rFonts w:cs="Calibri"/>
          <w:b/>
          <w:color w:val="FF0000"/>
        </w:rPr>
        <w:t>Proposed Experiments</w:t>
      </w:r>
      <w:r w:rsidR="0090017B" w:rsidRPr="00F3231B">
        <w:rPr>
          <w:rFonts w:cs="Calibri"/>
          <w:b/>
          <w:color w:val="FF0000"/>
        </w:rPr>
        <w:t xml:space="preserve">. </w:t>
      </w:r>
    </w:p>
    <w:p w14:paraId="4186D8E2" w14:textId="77777777" w:rsidR="003B4A49" w:rsidRPr="00FA3BDD" w:rsidRDefault="003B4A49" w:rsidP="003B4A49">
      <w:pPr>
        <w:contextualSpacing/>
        <w:rPr>
          <w:rFonts w:cs="Calibri"/>
          <w:b/>
          <w:i/>
          <w:color w:val="333333"/>
          <w:sz w:val="22"/>
          <w:szCs w:val="22"/>
        </w:rPr>
      </w:pPr>
      <w:r w:rsidRPr="00FA3BDD">
        <w:rPr>
          <w:rFonts w:cs="Calibri"/>
          <w:b/>
          <w:i/>
          <w:color w:val="333333"/>
          <w:sz w:val="22"/>
          <w:szCs w:val="22"/>
        </w:rPr>
        <w:t xml:space="preserve">Phase 1. </w:t>
      </w:r>
      <w:r w:rsidR="00BC2278">
        <w:rPr>
          <w:rFonts w:cs="Calibri"/>
          <w:b/>
          <w:i/>
          <w:color w:val="333333"/>
          <w:sz w:val="22"/>
          <w:szCs w:val="22"/>
        </w:rPr>
        <w:t>Does CRC mutation shape fibroblast-derived ECM composition?</w:t>
      </w:r>
    </w:p>
    <w:p w14:paraId="6D3B3628" w14:textId="77777777" w:rsidR="003B4A49" w:rsidRDefault="003B4A49" w:rsidP="003B4A49">
      <w:pPr>
        <w:contextualSpacing/>
        <w:rPr>
          <w:rFonts w:cs="Calibri"/>
          <w:color w:val="333333"/>
          <w:sz w:val="22"/>
          <w:szCs w:val="22"/>
        </w:rPr>
      </w:pPr>
      <w:r>
        <w:rPr>
          <w:rFonts w:cs="Calibri"/>
          <w:color w:val="333333"/>
          <w:sz w:val="22"/>
          <w:szCs w:val="22"/>
        </w:rPr>
        <w:t xml:space="preserve">The </w:t>
      </w:r>
      <w:r w:rsidR="00486458">
        <w:rPr>
          <w:rFonts w:cs="Calibri"/>
          <w:color w:val="333333"/>
          <w:sz w:val="22"/>
          <w:szCs w:val="22"/>
        </w:rPr>
        <w:t>applicant</w:t>
      </w:r>
      <w:r>
        <w:rPr>
          <w:rFonts w:cs="Calibri"/>
          <w:color w:val="333333"/>
          <w:sz w:val="22"/>
          <w:szCs w:val="22"/>
        </w:rPr>
        <w:t xml:space="preserve"> will </w:t>
      </w:r>
      <w:r w:rsidR="00486458">
        <w:rPr>
          <w:rFonts w:cs="Calibri"/>
          <w:color w:val="333333"/>
          <w:sz w:val="22"/>
          <w:szCs w:val="22"/>
        </w:rPr>
        <w:t>study</w:t>
      </w:r>
      <w:r>
        <w:rPr>
          <w:rFonts w:cs="Calibri"/>
          <w:color w:val="333333"/>
          <w:sz w:val="22"/>
          <w:szCs w:val="22"/>
        </w:rPr>
        <w:t xml:space="preserve"> relationships between epithelial mutation and CRC ECM</w:t>
      </w:r>
      <w:r w:rsidR="00486458">
        <w:rPr>
          <w:rFonts w:cs="Calibri"/>
          <w:color w:val="333333"/>
          <w:sz w:val="22"/>
          <w:szCs w:val="22"/>
        </w:rPr>
        <w:t xml:space="preserve"> composition through expansion of the results presented in Fig. 1 and assessment of </w:t>
      </w:r>
      <w:r w:rsidR="00E53C59">
        <w:rPr>
          <w:rFonts w:cs="Calibri"/>
          <w:color w:val="333333"/>
          <w:sz w:val="22"/>
          <w:szCs w:val="22"/>
        </w:rPr>
        <w:t xml:space="preserve">CRC-associated </w:t>
      </w:r>
      <w:r w:rsidR="00486458">
        <w:rPr>
          <w:rFonts w:cs="Calibri"/>
          <w:color w:val="333333"/>
          <w:sz w:val="22"/>
          <w:szCs w:val="22"/>
        </w:rPr>
        <w:t xml:space="preserve">ECMs in </w:t>
      </w:r>
      <w:r w:rsidR="00B232BF">
        <w:rPr>
          <w:rFonts w:cs="Calibri"/>
          <w:color w:val="333333"/>
          <w:sz w:val="22"/>
          <w:szCs w:val="22"/>
        </w:rPr>
        <w:t>genetically engineered mouse models (GEMMs)</w:t>
      </w:r>
      <w:r>
        <w:rPr>
          <w:rFonts w:cs="Calibri"/>
          <w:color w:val="333333"/>
          <w:sz w:val="22"/>
          <w:szCs w:val="22"/>
        </w:rPr>
        <w:t xml:space="preserve">. </w:t>
      </w:r>
      <w:r w:rsidR="00295334">
        <w:rPr>
          <w:rFonts w:cs="Calibri"/>
          <w:color w:val="333333"/>
          <w:sz w:val="22"/>
          <w:szCs w:val="22"/>
        </w:rPr>
        <w:t xml:space="preserve">Data from Fig 1 will be extended to include a broader range of CRC cell lines of known mutation and MSI status as well as </w:t>
      </w:r>
      <w:r w:rsidR="008449CC">
        <w:rPr>
          <w:rFonts w:cs="Calibri"/>
          <w:color w:val="333333"/>
          <w:sz w:val="22"/>
          <w:szCs w:val="22"/>
        </w:rPr>
        <w:t>human colonic epithelial organoids carrying CRISPR-mediated knock-in KRAS, p53 and/or APC mutation</w:t>
      </w:r>
      <w:r w:rsidR="004C270E">
        <w:rPr>
          <w:rFonts w:cs="Calibri"/>
          <w:color w:val="333333"/>
          <w:sz w:val="22"/>
          <w:szCs w:val="22"/>
        </w:rPr>
        <w:t>s</w:t>
      </w:r>
      <w:r w:rsidR="008449CC">
        <w:rPr>
          <w:rFonts w:cs="Calibri"/>
          <w:color w:val="333333"/>
          <w:sz w:val="22"/>
          <w:szCs w:val="22"/>
        </w:rPr>
        <w:t xml:space="preserve">. </w:t>
      </w:r>
      <w:r w:rsidR="004C270E">
        <w:rPr>
          <w:rFonts w:cs="Calibri"/>
          <w:color w:val="333333"/>
          <w:sz w:val="22"/>
          <w:szCs w:val="22"/>
        </w:rPr>
        <w:t xml:space="preserve">Co-culture derived </w:t>
      </w:r>
      <w:r w:rsidR="003C3A01">
        <w:rPr>
          <w:rFonts w:cs="Calibri"/>
          <w:color w:val="333333"/>
          <w:sz w:val="22"/>
          <w:szCs w:val="22"/>
        </w:rPr>
        <w:t xml:space="preserve">ECMs are </w:t>
      </w:r>
      <w:r w:rsidR="004C270E">
        <w:rPr>
          <w:rFonts w:cs="Calibri"/>
          <w:color w:val="333333"/>
          <w:sz w:val="22"/>
          <w:szCs w:val="22"/>
        </w:rPr>
        <w:t xml:space="preserve">then </w:t>
      </w:r>
      <w:r w:rsidR="003C3A01">
        <w:rPr>
          <w:rFonts w:cs="Calibri"/>
          <w:color w:val="333333"/>
          <w:sz w:val="22"/>
          <w:szCs w:val="22"/>
        </w:rPr>
        <w:t>de-</w:t>
      </w:r>
      <w:proofErr w:type="spellStart"/>
      <w:r w:rsidR="003C3A01">
        <w:rPr>
          <w:rFonts w:cs="Calibri"/>
          <w:color w:val="333333"/>
          <w:sz w:val="22"/>
          <w:szCs w:val="22"/>
        </w:rPr>
        <w:t>cellularised</w:t>
      </w:r>
      <w:proofErr w:type="spellEnd"/>
      <w:r w:rsidR="003C3A01">
        <w:rPr>
          <w:rFonts w:cs="Calibri"/>
          <w:color w:val="333333"/>
          <w:sz w:val="22"/>
          <w:szCs w:val="22"/>
        </w:rPr>
        <w:t xml:space="preserve"> and the resultant</w:t>
      </w:r>
      <w:r w:rsidR="004C270E">
        <w:rPr>
          <w:rFonts w:cs="Calibri"/>
          <w:color w:val="333333"/>
          <w:sz w:val="22"/>
          <w:szCs w:val="22"/>
        </w:rPr>
        <w:t xml:space="preserve"> ECM</w:t>
      </w:r>
      <w:r w:rsidR="003C3A01">
        <w:rPr>
          <w:rFonts w:cs="Calibri"/>
          <w:color w:val="333333"/>
          <w:sz w:val="22"/>
          <w:szCs w:val="22"/>
        </w:rPr>
        <w:t xml:space="preserve"> protein scaffold is solubilised before undergoing proteomic assessment through liquid-chromatography mass-spectrometry (LC-MS)(Benedikt Kessler laboratory). </w:t>
      </w:r>
      <w:r w:rsidR="00125307">
        <w:rPr>
          <w:rFonts w:cs="Calibri"/>
          <w:color w:val="333333"/>
          <w:sz w:val="22"/>
          <w:szCs w:val="22"/>
        </w:rPr>
        <w:t>We have extensive prior experience in the preparation of ECM proteins for LC-MS (Fig 2)</w:t>
      </w:r>
      <w:r w:rsidR="00125307">
        <w:rPr>
          <w:rFonts w:cs="Calibri"/>
          <w:color w:val="333333"/>
          <w:sz w:val="22"/>
          <w:szCs w:val="22"/>
        </w:rPr>
        <w:fldChar w:fldCharType="begin"/>
      </w:r>
      <w:r w:rsidR="00125307">
        <w:rPr>
          <w:rFonts w:cs="Calibri"/>
          <w:color w:val="333333"/>
          <w:sz w:val="22"/>
          <w:szCs w:val="22"/>
        </w:rPr>
        <w:instrText xml:space="preserve"> ADDIN ZOTERO_ITEM CSL_CITATION {"citationID":"znyW2bYD","properties":{"formattedCitation":"(8)","plainCitation":"(8)","noteIndex":0},"citationItems":[{"id":664,"uris":["http://zotero.org/users/270347/items/LNUYIPIJ"],"uri":["http://zotero.org/users/270347/items/LNUYIPIJ"],"itemData":{"id":664,"type":"article-journal","abstract":"Citrullination of proteins, a post-translational conversion of arginine residues to citrulline, is recognized in rheumatoid arthritis, but largely undocumented in cancer. Here we show that citrullination of the extracellular matrix by cancer cell derived peptidylarginine deiminase 4 (PAD4) is essential for the growth of liver metastases from colorectal cancer (CRC). Using proteomics, we demonstrate that liver metastases exhibit higher levels of citrullination and PAD4 than unaffected liver, primary CRC or adjacent colonic mucosa. Functional significance for citrullination in metastatic growth is evident in murine models where inhibition of citrullination substantially reduces liver metastatic burden. Additionally, citrullination of a key matrix component collagen type I promotes greater adhesion and decreased migration of CRC cells along with increased expression of characteristic epithelial markers, suggesting a role for citrullination in promoting mesenchymal-to-epithelial transition and liver metastasis. Overall, our study reveals the potential for PAD4-dependant citrullination to drive the progression of CRC liver metastasis.","container-title":"Nature Communications","DOI":"10.1038/s41467-018-07306-7","ISSN":"2041-1723","issue":"1","journalAbbreviation":"Nat Commun","language":"eng","note":"PMID: 30429478\nPMCID: PMC6235861","page":"4783","source":"PubMed","title":"Colorectal cancer liver metastatic growth depends on PAD4-driven citrullination of the extracellular matrix","volume":"9","author":[{"family":"Yuzhalin","given":"A. E."},{"family":"Gordon-Weeks","given":"A. N."},{"family":"Tognoli","given":"M. L."},{"family":"Jones","given":"K."},{"family":"Markelc","given":"B."},{"family":"Konietzny","given":"R."},{"family":"Fischer","given":"R."},{"family":"Muth","given":"A."},{"family":"O'Neill","given":"E."},{"family":"Thompson","given":"P. R."},{"family":"Venables","given":"P. J."},{"family":"Kessler","given":"B. M."},{"family":"Lim","given":"S. Y."},{"family":"Muschel","given":"R. J."}],"issued":{"date-parts":[["2018"]],"season":"14"}}}],"schema":"https://github.com/citation-style-language/schema/raw/master/csl-citation.json"} </w:instrText>
      </w:r>
      <w:r w:rsidR="00125307">
        <w:rPr>
          <w:rFonts w:cs="Calibri"/>
          <w:color w:val="333333"/>
          <w:sz w:val="22"/>
          <w:szCs w:val="22"/>
        </w:rPr>
        <w:fldChar w:fldCharType="separate"/>
      </w:r>
      <w:r w:rsidR="00125307">
        <w:rPr>
          <w:rFonts w:cs="Calibri"/>
          <w:noProof/>
          <w:color w:val="333333"/>
          <w:sz w:val="22"/>
          <w:szCs w:val="22"/>
        </w:rPr>
        <w:t>(8)</w:t>
      </w:r>
      <w:r w:rsidR="00125307">
        <w:rPr>
          <w:rFonts w:cs="Calibri"/>
          <w:color w:val="333333"/>
          <w:sz w:val="22"/>
          <w:szCs w:val="22"/>
        </w:rPr>
        <w:fldChar w:fldCharType="end"/>
      </w:r>
      <w:r w:rsidR="00125307">
        <w:rPr>
          <w:rFonts w:cs="Calibri"/>
          <w:color w:val="333333"/>
          <w:sz w:val="22"/>
          <w:szCs w:val="22"/>
        </w:rPr>
        <w:fldChar w:fldCharType="begin"/>
      </w:r>
      <w:r w:rsidR="00125307">
        <w:rPr>
          <w:rFonts w:cs="Calibri"/>
          <w:color w:val="333333"/>
          <w:sz w:val="22"/>
          <w:szCs w:val="22"/>
        </w:rPr>
        <w:instrText xml:space="preserve"> ADDIN ZOTERO_ITEM CSL_CITATION {"citationID":"5xU4gHcB","properties":{"formattedCitation":"(9)","plainCitation":"(9)","noteIndex":0},"citationItems":[{"id":684,"uris":["http://zotero.org/users/270347/items/H8BE3EB5"],"uri":["http://zotero.org/users/270347/items/H8BE3EB5"],"itemData":{"id":684,"type":"article-journal","abstract":"Hepatic metastatic growth is dependent upon stromal factors including the matrisomal proteins that make up the extracellular matrix (ECM). Laminins are ECM glycoproteins with several functions relevant to tumour progression including angiogenesis. We investigated whether metastatic colon cancer cells produce the laminins required for vascular basement membrane assembly as a mechanism for the promotion of angiogenesis and liver metastasis growth. qPCR was performed using human-specific primers to laminin chains on RNA from orthotopic human colorectal liver metastases. Laminin α5 (LAMA5) expression was inhibited in colon cancer cells using shRNA. Notch pathway gene expression was determined in endothelia from hepatic metastases. Orthotopic hepatic metastases expressed human laminin chains α5, β1 and γ1 (laminin 511), all of which are required for vascular basement membrane assembly. The expression of Laminin 511 was associated with reduced survival in several independent colorectal cancer cohorts and angiogenesis signatures or vessel density significantly correlated with LAMA5 expression. Colorectal cancer cells in culture made little LAMA5, but its levels were increased by culture in a medium conditioned by tumour-derived CD11b+ myeloid cells through TNFα/NFκB pathway signalling. Down-regulation of LAMA5 in cancer cells impaired liver metastatic growth and resulted in reduced intra-tumoural vessel branching and increased the expression of Notch pathway genes in metastasis-derived endothelia. This data demonstrates a mechanism whereby tumour inflammation induces LAMA5 expression in colorectal cancer cells. LAMA5 is required for the successful growth of hepatic metastases where it promotes branching angiogenesis and modulates Notch signalling.","container-title":"Cancers","DOI":"10.3390/cancers11050630","ISSN":"2072-6694","issue":"5","journalAbbreviation":"Cancers (Basel)","language":"eng","note":"PMID: 31064120","source":"PubMed","title":"Tumour-Derived Laminin α5 (LAMA5) Promotes Colorectal Liver Metastasis Growth, Branching Angiogenesis and Notch Pathway Inhibition","volume":"11","author":[{"family":"Gordon-Weeks","given":"Alex"},{"family":"Lim","given":"Su Yin"},{"family":"Yuzhalin","given":"Arseniy"},{"family":"Lucotti","given":"Serena"},{"family":"Vermeer","given":"Jenny Adriana Francisca"},{"family":"Jones","given":"Keaton"},{"family":"Chen","given":"Jianzhou"},{"family":"Muschel","given":"Ruth J."}],"issued":{"date-parts":[["2019",5,6]]}}}],"schema":"https://github.com/citation-style-language/schema/raw/master/csl-citation.json"} </w:instrText>
      </w:r>
      <w:r w:rsidR="00125307">
        <w:rPr>
          <w:rFonts w:cs="Calibri"/>
          <w:color w:val="333333"/>
          <w:sz w:val="22"/>
          <w:szCs w:val="22"/>
        </w:rPr>
        <w:fldChar w:fldCharType="separate"/>
      </w:r>
      <w:r w:rsidR="00125307">
        <w:rPr>
          <w:rFonts w:cs="Calibri"/>
          <w:noProof/>
          <w:color w:val="333333"/>
          <w:sz w:val="22"/>
          <w:szCs w:val="22"/>
        </w:rPr>
        <w:t>(9)</w:t>
      </w:r>
      <w:r w:rsidR="00125307">
        <w:rPr>
          <w:rFonts w:cs="Calibri"/>
          <w:color w:val="333333"/>
          <w:sz w:val="22"/>
          <w:szCs w:val="22"/>
        </w:rPr>
        <w:fldChar w:fldCharType="end"/>
      </w:r>
      <w:r w:rsidR="00125307">
        <w:rPr>
          <w:rFonts w:cs="Calibri"/>
          <w:color w:val="333333"/>
          <w:sz w:val="22"/>
          <w:szCs w:val="22"/>
        </w:rPr>
        <w:t xml:space="preserve">. </w:t>
      </w:r>
    </w:p>
    <w:p w14:paraId="1399977E" w14:textId="77777777" w:rsidR="003B4A49" w:rsidRDefault="003B4A49" w:rsidP="003B4A49">
      <w:pPr>
        <w:contextualSpacing/>
        <w:rPr>
          <w:rFonts w:cs="Calibri"/>
          <w:color w:val="333333"/>
          <w:sz w:val="22"/>
          <w:szCs w:val="22"/>
        </w:rPr>
      </w:pPr>
    </w:p>
    <w:p w14:paraId="0655731A" w14:textId="77777777" w:rsidR="00125307" w:rsidRDefault="00125307" w:rsidP="003B4A49">
      <w:pPr>
        <w:contextualSpacing/>
        <w:rPr>
          <w:rFonts w:cs="Calibri"/>
          <w:color w:val="333333"/>
          <w:sz w:val="22"/>
          <w:szCs w:val="22"/>
        </w:rPr>
      </w:pPr>
      <w:r>
        <w:rPr>
          <w:rFonts w:cs="Calibri"/>
          <w:color w:val="333333"/>
          <w:sz w:val="22"/>
          <w:szCs w:val="22"/>
        </w:rPr>
        <w:t>The applicant will then obtain primary and metastatic tumours from the GEMMs. The GEMMs develop spontaneous CRC on the background of compound mutation in APC, KRAS</w:t>
      </w:r>
      <w:r w:rsidR="00804CAF">
        <w:rPr>
          <w:rFonts w:cs="Calibri"/>
          <w:color w:val="333333"/>
          <w:sz w:val="22"/>
          <w:szCs w:val="22"/>
        </w:rPr>
        <w:t>,</w:t>
      </w:r>
      <w:r>
        <w:rPr>
          <w:rFonts w:cs="Calibri"/>
          <w:color w:val="333333"/>
          <w:sz w:val="22"/>
          <w:szCs w:val="22"/>
        </w:rPr>
        <w:t xml:space="preserve"> p53 and/or TGFBR2. Various combinations of these mutations lead to </w:t>
      </w:r>
      <w:r w:rsidR="00E65E76">
        <w:rPr>
          <w:rFonts w:cs="Calibri"/>
          <w:color w:val="333333"/>
          <w:sz w:val="22"/>
          <w:szCs w:val="22"/>
        </w:rPr>
        <w:t>CRCs recapitulating those seen in human disease and matching the various tumour types seen in the CMS system</w:t>
      </w:r>
      <w:r w:rsidR="00E65E76">
        <w:rPr>
          <w:rFonts w:cs="Calibri"/>
          <w:color w:val="333333"/>
          <w:sz w:val="22"/>
          <w:szCs w:val="22"/>
        </w:rPr>
        <w:fldChar w:fldCharType="begin"/>
      </w:r>
      <w:r w:rsidR="00E65E76">
        <w:rPr>
          <w:rFonts w:cs="Calibri"/>
          <w:color w:val="333333"/>
          <w:sz w:val="22"/>
          <w:szCs w:val="22"/>
        </w:rPr>
        <w:instrText xml:space="preserve"> ADDIN ZOTERO_ITEM CSL_CITATION {"citationID":"m11TXiS7","properties":{"formattedCitation":"(10)","plainCitation":"(10)","noteIndex":0},"citationItems":[{"id":1424,"uris":["http://zotero.org/users/270347/items/GCN458YR"],"uri":["http://zotero.org/users/270347/items/GCN458YR"],"itemData":{"id":1424,"type":"article-journal","abstract":"Most patients with colorectal cancer die as a result of the disease spreading to other organs. However, no prevalent mutations have been associated with metastatic colorectal cancers. Instead, particular features of the tumour microenvironment, such as lack of T-cell infiltration, low type 1 T-helper cell (TH1) activity and reduced immune cytotoxicity or increased TGFβ levels predict adverse outcomes in patients with colorectal cancer. Here we analyse the interplay between genetic alterations and the tumour microenvironment by crossing mice bearing conditional alleles of four main colorectal cancer mutations in intestinal stem cells. Quadruple-mutant mice developed metastatic intestinal tumours that display key hallmarks of human microsatellite-stable colorectal cancers, including low mutational burden, T-cell exclusion and TGFβ-activated stroma. Inhibition of the PD-1-PD-L1 immune checkpoint provoked a limited response in this model system. By contrast, inhibition of TGFβ unleashed a potent and enduring cytotoxic T-cell response against tumour cells that prevented metastasis. In mice with progressive liver metastatic disease, blockade of TGFβ signalling rendered tumours susceptible to anti-PD-1-PD-L1 therapy. Our data show that increased TGFβ in the tumour microenvironment represents a primary mechanism of immune evasion that promotes T-cell exclusion and blocks acquisition of the TH1-effector phenotype. Immunotherapies directed against TGFβ signalling may therefore have broad applications in treating patients with advanced colorectal cancer.","container-title":"Nature","DOI":"10.1038/nature25492","ISSN":"1476-4687","issue":"7693","journalAbbreviation":"Nature","language":"eng","note":"PMID: 29443964","page":"538-543","source":"PubMed","title":"TGFβ drives immune evasion in genetically reconstituted colon cancer metastasis","volume":"554","author":[{"family":"Tauriello","given":"Daniele V. F."},{"family":"Palomo-Ponce","given":"Sergio"},{"family":"Stork","given":"Diana"},{"family":"Berenguer-Llergo","given":"Antonio"},{"family":"Badia-Ramentol","given":"Jordi"},{"family":"Iglesias","given":"Mar"},{"family":"Sevillano","given":"Marta"},{"family":"Ibiza","given":"Sales"},{"family":"Cañellas","given":"Adrià"},{"family":"Hernando-Momblona","given":"Xavier"},{"family":"Byrom","given":"Daniel"},{"family":"Matarin","given":"Joan A."},{"family":"Calon","given":"Alexandre"},{"family":"Rivas","given":"Elisa I."},{"family":"Nebreda","given":"Angel R."},{"family":"Riera","given":"Antoni"},{"family":"Attolini","given":"Camille Stephan-Otto"},{"family":"Batlle","given":"Eduard"}],"issued":{"date-parts":[["2018"]],"season":"22"}}}],"schema":"https://github.com/citation-style-language/schema/raw/master/csl-citation.json"} </w:instrText>
      </w:r>
      <w:r w:rsidR="00E65E76">
        <w:rPr>
          <w:rFonts w:cs="Calibri"/>
          <w:color w:val="333333"/>
          <w:sz w:val="22"/>
          <w:szCs w:val="22"/>
        </w:rPr>
        <w:fldChar w:fldCharType="separate"/>
      </w:r>
      <w:r w:rsidR="00E65E76">
        <w:rPr>
          <w:rFonts w:cs="Calibri"/>
          <w:noProof/>
          <w:color w:val="333333"/>
          <w:sz w:val="22"/>
          <w:szCs w:val="22"/>
        </w:rPr>
        <w:t>(10)</w:t>
      </w:r>
      <w:r w:rsidR="00E65E76">
        <w:rPr>
          <w:rFonts w:cs="Calibri"/>
          <w:color w:val="333333"/>
          <w:sz w:val="22"/>
          <w:szCs w:val="22"/>
        </w:rPr>
        <w:fldChar w:fldCharType="end"/>
      </w:r>
      <w:r w:rsidR="00E65E76">
        <w:rPr>
          <w:rFonts w:cs="Calibri"/>
          <w:color w:val="333333"/>
          <w:sz w:val="22"/>
          <w:szCs w:val="22"/>
        </w:rPr>
        <w:t xml:space="preserve">. </w:t>
      </w:r>
      <w:r w:rsidR="00246A24">
        <w:rPr>
          <w:rFonts w:cs="Calibri"/>
          <w:color w:val="333333"/>
          <w:sz w:val="22"/>
          <w:szCs w:val="22"/>
        </w:rPr>
        <w:t>The tumours will be de</w:t>
      </w:r>
      <w:r w:rsidR="00BC2278">
        <w:rPr>
          <w:rFonts w:cs="Calibri"/>
          <w:color w:val="333333"/>
          <w:sz w:val="22"/>
          <w:szCs w:val="22"/>
        </w:rPr>
        <w:t>-</w:t>
      </w:r>
      <w:proofErr w:type="spellStart"/>
      <w:r w:rsidR="00246A24">
        <w:rPr>
          <w:rFonts w:cs="Calibri"/>
          <w:color w:val="333333"/>
          <w:sz w:val="22"/>
          <w:szCs w:val="22"/>
        </w:rPr>
        <w:t>cellularised</w:t>
      </w:r>
      <w:proofErr w:type="spellEnd"/>
      <w:r w:rsidR="00246A24">
        <w:rPr>
          <w:rFonts w:cs="Calibri"/>
          <w:color w:val="333333"/>
          <w:sz w:val="22"/>
          <w:szCs w:val="22"/>
        </w:rPr>
        <w:t xml:space="preserve"> and processed through the proteomics pipeline as above. </w:t>
      </w:r>
    </w:p>
    <w:p w14:paraId="172D5403" w14:textId="77777777" w:rsidR="00246A24" w:rsidRDefault="00246A24" w:rsidP="003B4A49">
      <w:pPr>
        <w:contextualSpacing/>
        <w:rPr>
          <w:rFonts w:cs="Calibri"/>
          <w:color w:val="333333"/>
          <w:sz w:val="22"/>
          <w:szCs w:val="22"/>
        </w:rPr>
      </w:pPr>
    </w:p>
    <w:p w14:paraId="40FCA6F8" w14:textId="77777777" w:rsidR="00246A24" w:rsidRDefault="00246A24" w:rsidP="003B4A49">
      <w:pPr>
        <w:contextualSpacing/>
        <w:rPr>
          <w:rFonts w:cs="Calibri"/>
          <w:color w:val="333333"/>
          <w:sz w:val="22"/>
          <w:szCs w:val="22"/>
        </w:rPr>
      </w:pPr>
      <w:r>
        <w:rPr>
          <w:rFonts w:cs="Calibri"/>
          <w:color w:val="333333"/>
          <w:sz w:val="22"/>
          <w:szCs w:val="22"/>
        </w:rPr>
        <w:lastRenderedPageBreak/>
        <w:t xml:space="preserve">The primary outcome of interest is difference in ECM protein abundance with mutation status as the independent variable. Results from these experiments will indicate whether specific epithelial mutations force the generation of unique ECM compositions through fibroblast activation as would be in support of the preliminary data presented in Figure 1. </w:t>
      </w:r>
    </w:p>
    <w:p w14:paraId="379E548E" w14:textId="77777777" w:rsidR="003B4A49" w:rsidRDefault="003B4A49" w:rsidP="003B4A49">
      <w:pPr>
        <w:contextualSpacing/>
        <w:rPr>
          <w:rFonts w:cs="Calibri"/>
          <w:color w:val="333333"/>
          <w:sz w:val="22"/>
          <w:szCs w:val="22"/>
        </w:rPr>
      </w:pPr>
    </w:p>
    <w:p w14:paraId="501EAAF8" w14:textId="77777777" w:rsidR="00FA3BDD" w:rsidRPr="00FA3BDD" w:rsidRDefault="00FA3BDD" w:rsidP="003B4A49">
      <w:pPr>
        <w:contextualSpacing/>
        <w:rPr>
          <w:rFonts w:cs="Calibri"/>
          <w:b/>
          <w:i/>
          <w:color w:val="333333"/>
          <w:sz w:val="22"/>
          <w:szCs w:val="22"/>
        </w:rPr>
      </w:pPr>
      <w:r w:rsidRPr="00FA3BDD">
        <w:rPr>
          <w:rFonts w:cs="Calibri"/>
          <w:b/>
          <w:i/>
          <w:color w:val="333333"/>
          <w:sz w:val="22"/>
          <w:szCs w:val="22"/>
        </w:rPr>
        <w:t xml:space="preserve">Phase 2. </w:t>
      </w:r>
      <w:r w:rsidR="00BC2278">
        <w:rPr>
          <w:rFonts w:cs="Calibri"/>
          <w:b/>
          <w:i/>
          <w:color w:val="333333"/>
          <w:sz w:val="22"/>
          <w:szCs w:val="22"/>
        </w:rPr>
        <w:t xml:space="preserve">What is the relevance of ECM composition </w:t>
      </w:r>
      <w:r w:rsidR="00472947">
        <w:rPr>
          <w:rFonts w:cs="Calibri"/>
          <w:b/>
          <w:i/>
          <w:color w:val="333333"/>
          <w:sz w:val="22"/>
          <w:szCs w:val="22"/>
        </w:rPr>
        <w:t>to</w:t>
      </w:r>
      <w:r w:rsidR="00BC2278">
        <w:rPr>
          <w:rFonts w:cs="Calibri"/>
          <w:b/>
          <w:i/>
          <w:color w:val="333333"/>
          <w:sz w:val="22"/>
          <w:szCs w:val="22"/>
        </w:rPr>
        <w:t xml:space="preserve"> immune cell motility and function? </w:t>
      </w:r>
    </w:p>
    <w:p w14:paraId="4391CEB3" w14:textId="77777777" w:rsidR="003B4A49" w:rsidRDefault="00BC2278" w:rsidP="003B4A49">
      <w:pPr>
        <w:contextualSpacing/>
        <w:rPr>
          <w:rFonts w:cs="Calibri"/>
          <w:color w:val="333333"/>
          <w:sz w:val="22"/>
          <w:szCs w:val="22"/>
        </w:rPr>
      </w:pPr>
      <w:r>
        <w:rPr>
          <w:rFonts w:cs="Calibri"/>
          <w:color w:val="333333"/>
          <w:sz w:val="22"/>
          <w:szCs w:val="22"/>
        </w:rPr>
        <w:t xml:space="preserve">The </w:t>
      </w:r>
      <w:r w:rsidR="000C74D5">
        <w:rPr>
          <w:rFonts w:cs="Calibri"/>
          <w:color w:val="333333"/>
          <w:sz w:val="22"/>
          <w:szCs w:val="22"/>
        </w:rPr>
        <w:t>applicant</w:t>
      </w:r>
      <w:r>
        <w:rPr>
          <w:rFonts w:cs="Calibri"/>
          <w:color w:val="333333"/>
          <w:sz w:val="22"/>
          <w:szCs w:val="22"/>
        </w:rPr>
        <w:t xml:space="preserve"> will use de-</w:t>
      </w:r>
      <w:proofErr w:type="spellStart"/>
      <w:r>
        <w:rPr>
          <w:rFonts w:cs="Calibri"/>
          <w:color w:val="333333"/>
          <w:sz w:val="22"/>
          <w:szCs w:val="22"/>
        </w:rPr>
        <w:t>cellularised</w:t>
      </w:r>
      <w:proofErr w:type="spellEnd"/>
      <w:r>
        <w:rPr>
          <w:rFonts w:cs="Calibri"/>
          <w:color w:val="333333"/>
          <w:sz w:val="22"/>
          <w:szCs w:val="22"/>
        </w:rPr>
        <w:t xml:space="preserve"> ECMs generated in phase 1 as scaffolds on which to study immune cell migration and activation. </w:t>
      </w:r>
      <w:r w:rsidR="00117FF1">
        <w:rPr>
          <w:rFonts w:cs="Calibri"/>
          <w:color w:val="333333"/>
          <w:sz w:val="22"/>
          <w:szCs w:val="22"/>
        </w:rPr>
        <w:t xml:space="preserve">Fluorescently labelled immune cell motility </w:t>
      </w:r>
      <w:r w:rsidR="005751DD">
        <w:rPr>
          <w:rFonts w:cs="Calibri"/>
          <w:color w:val="333333"/>
          <w:sz w:val="22"/>
          <w:szCs w:val="22"/>
        </w:rPr>
        <w:t>assessed with</w:t>
      </w:r>
      <w:r w:rsidR="00117FF1">
        <w:rPr>
          <w:rFonts w:cs="Calibri"/>
          <w:color w:val="333333"/>
          <w:sz w:val="22"/>
          <w:szCs w:val="22"/>
        </w:rPr>
        <w:t xml:space="preserve"> live cell imaging </w:t>
      </w:r>
      <w:r w:rsidR="005751DD">
        <w:rPr>
          <w:rFonts w:cs="Calibri"/>
          <w:color w:val="333333"/>
          <w:sz w:val="22"/>
          <w:szCs w:val="22"/>
        </w:rPr>
        <w:t xml:space="preserve">is compared on different ECMs. At this point, fibroblast lines lacking specific ECM proteins of interest from phase 1 may be generated through CRISPR-KO </w:t>
      </w:r>
      <w:r w:rsidR="00C46BA0">
        <w:rPr>
          <w:rFonts w:cs="Calibri"/>
          <w:color w:val="333333"/>
          <w:sz w:val="22"/>
          <w:szCs w:val="22"/>
        </w:rPr>
        <w:t>or pharmacological agents ta</w:t>
      </w:r>
      <w:r w:rsidR="00FA7951">
        <w:rPr>
          <w:rFonts w:cs="Calibri"/>
          <w:color w:val="333333"/>
          <w:sz w:val="22"/>
          <w:szCs w:val="22"/>
        </w:rPr>
        <w:t>r</w:t>
      </w:r>
      <w:r w:rsidR="00C46BA0">
        <w:rPr>
          <w:rFonts w:cs="Calibri"/>
          <w:color w:val="333333"/>
          <w:sz w:val="22"/>
          <w:szCs w:val="22"/>
        </w:rPr>
        <w:t xml:space="preserve">geting ECM regulatory proteins </w:t>
      </w:r>
      <w:r w:rsidR="00FA7951">
        <w:rPr>
          <w:rFonts w:cs="Calibri"/>
          <w:color w:val="333333"/>
          <w:sz w:val="22"/>
          <w:szCs w:val="22"/>
        </w:rPr>
        <w:t xml:space="preserve">(again identified through proteomics from phase 1). </w:t>
      </w:r>
    </w:p>
    <w:p w14:paraId="4BB3845D" w14:textId="77777777" w:rsidR="009F717D" w:rsidRDefault="009F717D" w:rsidP="0027587B">
      <w:pPr>
        <w:contextualSpacing/>
        <w:rPr>
          <w:rFonts w:cs="Calibri"/>
          <w:color w:val="333333"/>
          <w:sz w:val="22"/>
          <w:szCs w:val="22"/>
        </w:rPr>
      </w:pPr>
    </w:p>
    <w:p w14:paraId="40E9CDBC" w14:textId="77777777" w:rsidR="00F3231B" w:rsidRPr="00A22ACD" w:rsidRDefault="00A22ACD" w:rsidP="0027587B">
      <w:pPr>
        <w:contextualSpacing/>
        <w:rPr>
          <w:rFonts w:cs="Calibri"/>
          <w:b/>
          <w:i/>
          <w:color w:val="333333"/>
          <w:sz w:val="22"/>
          <w:szCs w:val="22"/>
        </w:rPr>
      </w:pPr>
      <w:r w:rsidRPr="00A22ACD">
        <w:rPr>
          <w:rFonts w:cs="Calibri"/>
          <w:b/>
          <w:i/>
          <w:color w:val="333333"/>
          <w:sz w:val="22"/>
          <w:szCs w:val="22"/>
        </w:rPr>
        <w:t xml:space="preserve">Phase 3. What is the spatial relationship between ECM components and </w:t>
      </w:r>
      <w:r w:rsidR="00D93968">
        <w:rPr>
          <w:rFonts w:cs="Calibri"/>
          <w:b/>
          <w:i/>
          <w:color w:val="333333"/>
          <w:sz w:val="22"/>
          <w:szCs w:val="22"/>
        </w:rPr>
        <w:t xml:space="preserve">the </w:t>
      </w:r>
      <w:r w:rsidRPr="00A22ACD">
        <w:rPr>
          <w:rFonts w:cs="Calibri"/>
          <w:b/>
          <w:i/>
          <w:color w:val="333333"/>
          <w:sz w:val="22"/>
          <w:szCs w:val="22"/>
        </w:rPr>
        <w:t>CRC immun</w:t>
      </w:r>
      <w:r w:rsidR="00D93968">
        <w:rPr>
          <w:rFonts w:cs="Calibri"/>
          <w:b/>
          <w:i/>
          <w:color w:val="333333"/>
          <w:sz w:val="22"/>
          <w:szCs w:val="22"/>
        </w:rPr>
        <w:t>e infiltrate and how does epithelial mutation regulate this</w:t>
      </w:r>
      <w:r w:rsidRPr="00A22ACD">
        <w:rPr>
          <w:rFonts w:cs="Calibri"/>
          <w:b/>
          <w:i/>
          <w:color w:val="333333"/>
          <w:sz w:val="22"/>
          <w:szCs w:val="22"/>
        </w:rPr>
        <w:t>?</w:t>
      </w:r>
    </w:p>
    <w:p w14:paraId="648678FD" w14:textId="77777777" w:rsidR="00A22ACD" w:rsidRDefault="00FA7951" w:rsidP="0027587B">
      <w:pPr>
        <w:contextualSpacing/>
        <w:rPr>
          <w:rFonts w:cs="Calibri"/>
          <w:color w:val="333333"/>
          <w:sz w:val="22"/>
          <w:szCs w:val="22"/>
        </w:rPr>
      </w:pPr>
      <w:r>
        <w:rPr>
          <w:rFonts w:cs="Calibri"/>
          <w:color w:val="333333"/>
          <w:sz w:val="22"/>
          <w:szCs w:val="22"/>
        </w:rPr>
        <w:t xml:space="preserve">Following identification of relevant proteins within the ECM, the </w:t>
      </w:r>
      <w:r w:rsidR="001B4A85">
        <w:rPr>
          <w:rFonts w:cs="Calibri"/>
          <w:color w:val="333333"/>
          <w:sz w:val="22"/>
          <w:szCs w:val="22"/>
        </w:rPr>
        <w:t>applicant</w:t>
      </w:r>
      <w:r>
        <w:rPr>
          <w:rFonts w:cs="Calibri"/>
          <w:color w:val="333333"/>
          <w:sz w:val="22"/>
          <w:szCs w:val="22"/>
        </w:rPr>
        <w:t xml:space="preserve"> will optimise an </w:t>
      </w:r>
      <w:r w:rsidR="001B4A85">
        <w:rPr>
          <w:rFonts w:cs="Calibri"/>
          <w:color w:val="333333"/>
          <w:sz w:val="22"/>
          <w:szCs w:val="22"/>
        </w:rPr>
        <w:t xml:space="preserve">ECM </w:t>
      </w:r>
      <w:r>
        <w:rPr>
          <w:rFonts w:cs="Calibri"/>
          <w:color w:val="333333"/>
          <w:sz w:val="22"/>
          <w:szCs w:val="22"/>
        </w:rPr>
        <w:t>antibody panel for use alongside already optimised immune cell panels (lymphoid and myeloid cell types)</w:t>
      </w:r>
      <w:r w:rsidR="001B4A85">
        <w:rPr>
          <w:rFonts w:cs="Calibri"/>
          <w:color w:val="333333"/>
          <w:sz w:val="22"/>
          <w:szCs w:val="22"/>
        </w:rPr>
        <w:t xml:space="preserve">. The antibody panels will then be used to perform multiplexed immunohistochemistry on </w:t>
      </w:r>
      <w:r w:rsidR="00F47983">
        <w:rPr>
          <w:rFonts w:cs="Calibri"/>
          <w:color w:val="333333"/>
          <w:sz w:val="22"/>
          <w:szCs w:val="22"/>
        </w:rPr>
        <w:t xml:space="preserve">human primary and metastatic CRC specimens of known mutation, MSS and CMS type </w:t>
      </w:r>
    </w:p>
    <w:p w14:paraId="15DC7DFF" w14:textId="77777777" w:rsidR="00A22ACD" w:rsidRDefault="00A22ACD" w:rsidP="0027587B">
      <w:pPr>
        <w:contextualSpacing/>
        <w:rPr>
          <w:rFonts w:cs="Calibri"/>
          <w:color w:val="333333"/>
          <w:sz w:val="22"/>
          <w:szCs w:val="22"/>
        </w:rPr>
      </w:pPr>
    </w:p>
    <w:p w14:paraId="46DA4B52" w14:textId="77777777" w:rsidR="0027587B" w:rsidRPr="00F3231B" w:rsidRDefault="0027587B" w:rsidP="0027587B">
      <w:pPr>
        <w:contextualSpacing/>
        <w:rPr>
          <w:rFonts w:cs="Calibri"/>
          <w:b/>
          <w:color w:val="FF0000"/>
        </w:rPr>
      </w:pPr>
      <w:r w:rsidRPr="00F3231B">
        <w:rPr>
          <w:rFonts w:cs="Calibri"/>
          <w:b/>
          <w:color w:val="FF0000"/>
        </w:rPr>
        <w:t>Training Opportunities and Required Experience</w:t>
      </w:r>
      <w:r w:rsidR="0090017B" w:rsidRPr="00F3231B">
        <w:rPr>
          <w:rFonts w:cs="Calibri"/>
          <w:b/>
          <w:color w:val="FF0000"/>
        </w:rPr>
        <w:t>.</w:t>
      </w:r>
    </w:p>
    <w:p w14:paraId="3F885EA8" w14:textId="77777777" w:rsidR="005B3925" w:rsidRPr="006E72AF" w:rsidRDefault="009C2BF4" w:rsidP="005B3925">
      <w:pPr>
        <w:contextualSpacing/>
        <w:rPr>
          <w:rFonts w:cs="Calibri"/>
          <w:color w:val="333333"/>
          <w:sz w:val="22"/>
          <w:szCs w:val="22"/>
        </w:rPr>
      </w:pPr>
      <w:r>
        <w:rPr>
          <w:rFonts w:cs="Calibri"/>
          <w:color w:val="333333"/>
          <w:sz w:val="22"/>
          <w:szCs w:val="22"/>
        </w:rPr>
        <w:t xml:space="preserve">A good grounding in cell culture techniques will be required. </w:t>
      </w:r>
      <w:r w:rsidR="009F717D">
        <w:rPr>
          <w:rFonts w:cs="Calibri"/>
          <w:color w:val="333333"/>
          <w:sz w:val="22"/>
          <w:szCs w:val="22"/>
        </w:rPr>
        <w:t xml:space="preserve">De-cellularisation and </w:t>
      </w:r>
      <w:r w:rsidR="00DA72DE">
        <w:rPr>
          <w:rFonts w:cs="Calibri"/>
          <w:color w:val="333333"/>
          <w:sz w:val="22"/>
          <w:szCs w:val="22"/>
        </w:rPr>
        <w:t>subsequent preparation of ECM protein scaffolds for LC-MS will require some knowledge of biochemistry</w:t>
      </w:r>
      <w:r w:rsidR="004C4007">
        <w:rPr>
          <w:rFonts w:cs="Calibri"/>
          <w:color w:val="333333"/>
          <w:sz w:val="22"/>
          <w:szCs w:val="22"/>
        </w:rPr>
        <w:t xml:space="preserve"> but can be taught in the supervising laboratory</w:t>
      </w:r>
      <w:r w:rsidR="00DA72DE">
        <w:rPr>
          <w:rFonts w:cs="Calibri"/>
          <w:color w:val="333333"/>
          <w:sz w:val="22"/>
          <w:szCs w:val="22"/>
        </w:rPr>
        <w:t xml:space="preserve">. </w:t>
      </w:r>
      <w:r>
        <w:rPr>
          <w:rFonts w:cs="Calibri"/>
          <w:color w:val="333333"/>
          <w:sz w:val="22"/>
          <w:szCs w:val="22"/>
        </w:rPr>
        <w:t>The applicant will be encouraged to develop the bioinformatic skills required to analyse the generated data</w:t>
      </w:r>
      <w:r w:rsidR="00A60D9A">
        <w:rPr>
          <w:rFonts w:cs="Calibri"/>
          <w:color w:val="333333"/>
          <w:sz w:val="22"/>
          <w:szCs w:val="22"/>
        </w:rPr>
        <w:t xml:space="preserve"> inclusive of proteomics and multiplexed immunohistochemistry although again training in this will be required</w:t>
      </w:r>
      <w:r>
        <w:rPr>
          <w:rFonts w:cs="Calibri"/>
          <w:color w:val="333333"/>
          <w:sz w:val="22"/>
          <w:szCs w:val="22"/>
        </w:rPr>
        <w:t xml:space="preserve">. </w:t>
      </w:r>
      <w:r w:rsidR="00DA72DE">
        <w:rPr>
          <w:rFonts w:cs="Calibri"/>
          <w:color w:val="333333"/>
          <w:sz w:val="22"/>
          <w:szCs w:val="22"/>
        </w:rPr>
        <w:t xml:space="preserve">Although the project requires analysis of murine tissues, </w:t>
      </w:r>
      <w:r w:rsidR="006E72AF">
        <w:rPr>
          <w:rFonts w:cs="Calibri"/>
          <w:color w:val="333333"/>
          <w:sz w:val="22"/>
          <w:szCs w:val="22"/>
        </w:rPr>
        <w:t xml:space="preserve">no animal handling will be required. </w:t>
      </w:r>
    </w:p>
    <w:sectPr w:rsidR="005B3925" w:rsidRPr="006E72AF" w:rsidSect="004E052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52486"/>
    <w:multiLevelType w:val="hybridMultilevel"/>
    <w:tmpl w:val="F1887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8D448D"/>
    <w:multiLevelType w:val="hybridMultilevel"/>
    <w:tmpl w:val="172A1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25"/>
    <w:rsid w:val="000316F6"/>
    <w:rsid w:val="00036F33"/>
    <w:rsid w:val="000C74D5"/>
    <w:rsid w:val="00117FF1"/>
    <w:rsid w:val="00125307"/>
    <w:rsid w:val="00151E19"/>
    <w:rsid w:val="0018729A"/>
    <w:rsid w:val="00197FDB"/>
    <w:rsid w:val="001B4A85"/>
    <w:rsid w:val="002126DC"/>
    <w:rsid w:val="002228B2"/>
    <w:rsid w:val="00230090"/>
    <w:rsid w:val="00245CB1"/>
    <w:rsid w:val="00246A24"/>
    <w:rsid w:val="00256207"/>
    <w:rsid w:val="002707A7"/>
    <w:rsid w:val="0027587B"/>
    <w:rsid w:val="00295334"/>
    <w:rsid w:val="002A7043"/>
    <w:rsid w:val="003870AF"/>
    <w:rsid w:val="003B4A49"/>
    <w:rsid w:val="003B6EFE"/>
    <w:rsid w:val="003B71F1"/>
    <w:rsid w:val="003C3A01"/>
    <w:rsid w:val="003E2D6E"/>
    <w:rsid w:val="00421C50"/>
    <w:rsid w:val="00472947"/>
    <w:rsid w:val="00472DF9"/>
    <w:rsid w:val="004848CB"/>
    <w:rsid w:val="00486458"/>
    <w:rsid w:val="004B1C71"/>
    <w:rsid w:val="004C270E"/>
    <w:rsid w:val="004C4007"/>
    <w:rsid w:val="004E0522"/>
    <w:rsid w:val="004E0B8F"/>
    <w:rsid w:val="005751DD"/>
    <w:rsid w:val="005758E4"/>
    <w:rsid w:val="0058088B"/>
    <w:rsid w:val="005B3925"/>
    <w:rsid w:val="005E18B0"/>
    <w:rsid w:val="00634AC3"/>
    <w:rsid w:val="006626BD"/>
    <w:rsid w:val="006E532C"/>
    <w:rsid w:val="006E72AF"/>
    <w:rsid w:val="00735BD1"/>
    <w:rsid w:val="00747455"/>
    <w:rsid w:val="0078143F"/>
    <w:rsid w:val="00791091"/>
    <w:rsid w:val="007A387D"/>
    <w:rsid w:val="007B777E"/>
    <w:rsid w:val="00804CAF"/>
    <w:rsid w:val="00814C30"/>
    <w:rsid w:val="00843FA3"/>
    <w:rsid w:val="008449CC"/>
    <w:rsid w:val="0085248C"/>
    <w:rsid w:val="00856901"/>
    <w:rsid w:val="00873DC5"/>
    <w:rsid w:val="00875507"/>
    <w:rsid w:val="008A4E67"/>
    <w:rsid w:val="008B2029"/>
    <w:rsid w:val="008D7D6E"/>
    <w:rsid w:val="0090017B"/>
    <w:rsid w:val="00927687"/>
    <w:rsid w:val="009C2BF4"/>
    <w:rsid w:val="009F5036"/>
    <w:rsid w:val="009F717D"/>
    <w:rsid w:val="00A22ACD"/>
    <w:rsid w:val="00A40D54"/>
    <w:rsid w:val="00A60D9A"/>
    <w:rsid w:val="00A86CF5"/>
    <w:rsid w:val="00AA33A7"/>
    <w:rsid w:val="00AA4DA1"/>
    <w:rsid w:val="00AA7556"/>
    <w:rsid w:val="00B21F3E"/>
    <w:rsid w:val="00B232BF"/>
    <w:rsid w:val="00B30E02"/>
    <w:rsid w:val="00B95DFC"/>
    <w:rsid w:val="00BC2278"/>
    <w:rsid w:val="00C454AE"/>
    <w:rsid w:val="00C46BA0"/>
    <w:rsid w:val="00CC217F"/>
    <w:rsid w:val="00D15888"/>
    <w:rsid w:val="00D215DD"/>
    <w:rsid w:val="00D4749A"/>
    <w:rsid w:val="00D71F83"/>
    <w:rsid w:val="00D93968"/>
    <w:rsid w:val="00DA0BF2"/>
    <w:rsid w:val="00DA72DE"/>
    <w:rsid w:val="00DE7775"/>
    <w:rsid w:val="00E202D7"/>
    <w:rsid w:val="00E22CAB"/>
    <w:rsid w:val="00E53C59"/>
    <w:rsid w:val="00E656DD"/>
    <w:rsid w:val="00E65E76"/>
    <w:rsid w:val="00E85EF2"/>
    <w:rsid w:val="00ED1135"/>
    <w:rsid w:val="00F0492F"/>
    <w:rsid w:val="00F076B1"/>
    <w:rsid w:val="00F3231B"/>
    <w:rsid w:val="00F47983"/>
    <w:rsid w:val="00F50B3C"/>
    <w:rsid w:val="00F545A6"/>
    <w:rsid w:val="00FA3BDD"/>
    <w:rsid w:val="00FA7951"/>
    <w:rsid w:val="00FC68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FE7E3"/>
  <w15:chartTrackingRefBased/>
  <w15:docId w15:val="{B9851C6A-E496-E94A-AD12-39A9FCE8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7A7"/>
    <w:pPr>
      <w:ind w:left="720"/>
      <w:contextualSpacing/>
    </w:pPr>
  </w:style>
  <w:style w:type="paragraph" w:styleId="Bibliography">
    <w:name w:val="Bibliography"/>
    <w:basedOn w:val="Normal"/>
    <w:next w:val="Normal"/>
    <w:uiPriority w:val="37"/>
    <w:unhideWhenUsed/>
    <w:rsid w:val="004848CB"/>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6760</Words>
  <Characters>38535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gordon-weeks</dc:creator>
  <cp:keywords/>
  <dc:description/>
  <cp:lastModifiedBy>Megan Harvey</cp:lastModifiedBy>
  <cp:revision>2</cp:revision>
  <dcterms:created xsi:type="dcterms:W3CDTF">2021-11-18T13:56:00Z</dcterms:created>
  <dcterms:modified xsi:type="dcterms:W3CDTF">2021-11-18T13:56:00Z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id="PkQkO7Lf"/&gt;&lt;style id="http://www.zotero.org/styles/vancouver" locale="en-GB" hasBibliography="1" bibliographyStyleHasBeenSet="1"/&gt;&lt;prefs&gt;&lt;pref name="fieldType" value="Field"/&gt;&lt;/prefs&gt;&lt;/data&gt;</vt:lpwstr>
  </property>
</Properties>
</file>